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7.pdf" ContentType="application/pdf"/>
  <Override PartName="/word/media/rId38.pdf" ContentType="application/pdf"/>
  <Override PartName="/word/media/rId27.pdf" ContentType="application/pdf"/>
  <Override PartName="/word/media/rId86.pdf" ContentType="application/pdf"/>
  <Override PartName="/word/media/rId75.pdf" ContentType="application/pdf"/>
  <Override PartName="/word/media/rId74.png" ContentType="image/png"/>
  <Override PartName="/word/media/rId85.png" ContentType="image/png"/>
  <Override PartName="/word/media/rId79.pdf" ContentType="application/pdf"/>
  <Override PartName="/word/media/rId72.pdf" ContentType="application/pdf"/>
  <Override PartName="/word/media/rId71.png" ContentType="image/png"/>
  <Override PartName="/word/media/rId84.png" ContentType="image/png"/>
  <Override PartName="/word/media/rId66.pdf" ContentType="application/pdf"/>
  <Override PartName="/word/media/rId89.pdf" ContentType="application/pdf"/>
  <Override PartName="/word/media/rId65.pdf" ContentType="application/pdf"/>
  <Override PartName="/word/media/rId91.pdf" ContentType="application/pdf"/>
  <Override PartName="/word/media/rId78.pdf" ContentType="application/pdf"/>
  <Override PartName="/word/media/rId28.jpg" ContentType="image/jpeg"/>
  <Override PartName="/word/media/rId30.jpg" ContentType="image/jpeg"/>
  <Override PartName="/word/media/rId35.png" ContentType="image/png"/>
  <Override PartName="/word/media/rId34.jpg" ContentType="image/jpeg"/>
  <Override PartName="/word/media/rId32.jpg" ContentType="image/jpeg"/>
  <Override PartName="/word/media/rId51.pdf" ContentType="application/pdf"/>
  <Override PartName="/word/media/rId90.pdf" ContentType="application/pdf"/>
  <Override PartName="/word/media/rId82.pdf" ContentType="application/pdf"/>
  <Override PartName="/word/media/rId93.pdf" ContentType="application/pdf"/>
  <Override PartName="/word/media/rId81.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陈育明</w:t>
      </w:r>
    </w:p>
    <w:p>
      <w:pPr>
        <w:pStyle w:val="Abstract"/>
      </w:pPr>
      <w:r>
        <w:t xml:space="preserve">复杂网络的研究可上溯到20世纪60年代对ER网络的研究。90年后代随着Internet</w:t>
      </w:r>
      <w:r>
        <w:t xml:space="preserve"> </w:t>
      </w:r>
      <w:r>
        <w:t xml:space="preserve">的发展，以及对人类社会、通信网络、生物网络、社交网络等各领域研究的深入，</w:t>
      </w:r>
      <w:r>
        <w:t xml:space="preserve"> </w:t>
      </w:r>
      <w:r>
        <w:t xml:space="preserve">发现了小世界网络和无尺度现象等普适现象与方法。对复杂网络的定性定量的科</w:t>
      </w:r>
      <w:r>
        <w:t xml:space="preserve"> </w:t>
      </w:r>
      <w:r>
        <w:t xml:space="preserve">学理解和分析，已成为如今网络时代科学研究的一个重点课题。</w:t>
      </w:r>
    </w:p>
    <w:p>
      <w:pPr>
        <w:pStyle w:val="Heading1"/>
      </w:pPr>
      <w:bookmarkStart w:id="21" w:name="chapter:introduction"/>
      <w:bookmarkEnd w:id="21"/>
      <w:r>
        <w:t xml:space="preserve">绪论</w:t>
      </w:r>
    </w:p>
    <w:p>
      <w:pPr>
        <w:pStyle w:val="Heading2"/>
      </w:pPr>
      <w:bookmarkStart w:id="22" w:name="引言"/>
      <w:bookmarkEnd w:id="22"/>
      <w:r>
        <w:t xml:space="preserve">引言</w:t>
      </w:r>
    </w:p>
    <w:p>
      <w:pPr>
        <w:pStyle w:val="FirstParagraph"/>
      </w:pPr>
      <w:r>
        <w:t xml:space="preserve">表面活性剂 (surfactant, surface active agent) 是一种能够溶于水且可使水的表（界）面张力显著降低的物质，</w:t>
      </w:r>
      <w:r>
        <w:t xml:space="preserve"> </w:t>
      </w:r>
      <w:r>
        <w:t xml:space="preserve">传统上认为表面活性剂是在很低浓度下仍可显著降低液体表（界）面张力的物质，现在一般认为只要在较低</w:t>
      </w:r>
      <w:r>
        <w:t xml:space="preserve"> </w:t>
      </w:r>
      <w:r>
        <w:t xml:space="preserve">浓度下可以显著改变表面性质的物质即可划归表面活性剂的范畴。</w:t>
      </w:r>
    </w:p>
    <w:p>
      <w:pPr>
        <w:pStyle w:val="BodyText"/>
      </w:pPr>
      <w:r>
        <w:t xml:space="preserve">表面活性剂分子一般由两部分构成：一部分为疏水（亲油）的非极性基团，通常为八个碳以上的烃链；另一</w:t>
      </w:r>
      <w:r>
        <w:t xml:space="preserve"> </w:t>
      </w:r>
      <w:r>
        <w:t xml:space="preserve">部分为亲水的极性基团，例如羧基、羟基、磺酸基、季铵基等。表面活性剂分子既亲水又亲油，故被称为</w:t>
      </w:r>
      <w:r>
        <w:t xml:space="preserve"> </w:t>
      </w:r>
      <w:r>
        <w:t xml:space="preserve">两亲分子，最典型的例子是肥皂，具有增溶、润湿等作用。表面活性剂因其乳化、润湿、增溶等优良作用而</w:t>
      </w:r>
      <w:r>
        <w:t xml:space="preserve"> </w:t>
      </w:r>
      <w:r>
        <w:t xml:space="preserve">被广泛用于如原油回收、土壤修复、乳液聚合、药物制备等领域</w:t>
      </w:r>
      <w:r>
        <w:t xml:space="preserve">。</w:t>
      </w:r>
    </w:p>
    <w:p>
      <w:pPr>
        <w:pStyle w:val="Heading2"/>
      </w:pPr>
      <w:bookmarkStart w:id="23" w:name="刺激响应型表面活性剂"/>
      <w:bookmarkEnd w:id="23"/>
      <w:r>
        <w:t xml:space="preserve">刺激响应型表面活性剂</w:t>
      </w:r>
    </w:p>
    <w:p>
      <w:pPr>
        <w:pStyle w:val="FirstParagraph"/>
      </w:pPr>
      <w:r>
        <w:t xml:space="preserve">一般情况下，表面活性剂大多具有性能稳定的特点，但在大多数情况下，它只需在某一阶段起作用，之后反而</w:t>
      </w:r>
      <w:r>
        <w:t xml:space="preserve"> </w:t>
      </w:r>
      <w:r>
        <w:t xml:space="preserve">会产生分离困难；另一方面，表面活性剂一般不参与化学反应，直接排放既是一种浪费，同时给环境带来压力</w:t>
      </w:r>
      <w:r>
        <w:t xml:space="preserve"> </w:t>
      </w:r>
      <w:r>
        <w:t xml:space="preserve">。因此先后发展了多样触发机制的可分解型表面活性剂 (cleavable surfactants) 和开关型表面</w:t>
      </w:r>
      <w:r>
        <w:t xml:space="preserve"> </w:t>
      </w:r>
      <w:r>
        <w:t xml:space="preserve">活性剂 (switchable surfactants)。</w:t>
      </w:r>
    </w:p>
    <w:p>
      <w:pPr>
        <w:pStyle w:val="Heading3"/>
      </w:pPr>
      <w:bookmarkStart w:id="24" w:name="可分解型表面活性剂"/>
      <w:bookmarkEnd w:id="24"/>
      <w:r>
        <w:t xml:space="preserve">可分解型表面活性剂</w:t>
      </w:r>
    </w:p>
    <w:p>
      <w:pPr>
        <w:pStyle w:val="FirstParagraph"/>
      </w:pPr>
      <w:r>
        <w:t xml:space="preserve">为应对传统表面活性剂生物降解速率慢及其引起的环境问题，人们开始关注于可分解表面活性剂，设想通过在</w:t>
      </w:r>
      <w:r>
        <w:t xml:space="preserve"> </w:t>
      </w:r>
      <w:r>
        <w:t xml:space="preserve">分子内嵌入易断裂化学键以提高生物降解速率（尽管研究中的高效催化降解不完全代表实际中微生物也能够</w:t>
      </w:r>
      <w:r>
        <w:t xml:space="preserve"> </w:t>
      </w:r>
      <w:r>
        <w:t xml:space="preserve">高效地降解）</w:t>
      </w:r>
      <w:r>
        <w:t xml:space="preserve">，此类可分解表面活性剂在酸碱、光照、加热、酶催化等条件下能够促发分解</w:t>
      </w:r>
      <w:r>
        <w:t xml:space="preserve">。</w:t>
      </w:r>
      <w:r>
        <w:t xml:space="preserve"> </w:t>
      </w:r>
      <w:r>
        <w:t xml:space="preserve">传统表面活性剂一般相对稳定，早在可分解表面活性剂的概念开始发展之前，季铵酯类表面活性剂早已被用作</w:t>
      </w:r>
      <w:r>
        <w:t xml:space="preserve"> </w:t>
      </w:r>
      <w:r>
        <w:t xml:space="preserve">纺织品柔软剂，这便是典型的可分解表面活性剂。此外，十二烷基硫酸钠能够进行自催化降解、脂肪酸聚氧乙烯酯</w:t>
      </w:r>
      <w:r>
        <w:t xml:space="preserve"> </w:t>
      </w:r>
      <w:r>
        <w:t xml:space="preserve">这一表面活性剂应当在中性或弱碱性条件下使用、羰基类表面活性剂在酸性条件会分解这些可分解表面活性剂</w:t>
      </w:r>
      <w:r>
        <w:t xml:space="preserve"> </w:t>
      </w:r>
      <w:r>
        <w:t xml:space="preserve">的分解条件均被人们加以应用</w:t>
      </w:r>
      <w:r>
        <w:t xml:space="preserve">。</w:t>
      </w:r>
    </w:p>
    <w:p>
      <w:pPr>
        <w:pStyle w:val="BodyText"/>
      </w:pPr>
      <w:r>
        <w:t xml:space="preserve">对于可分解表面活性剂，其催化分解的手段主要包括：酶、酸、碱、UV光照、臭氧以及加热等。可分解表面</w:t>
      </w:r>
      <w:r>
        <w:t xml:space="preserve"> </w:t>
      </w:r>
      <w:r>
        <w:t xml:space="preserve">活性剂主要包含对酸不稳定类（缩醛类、缩酮类、原酸酯类及硅氧烷基表面活性剂）、对碱不稳定类（季铵酯、</w:t>
      </w:r>
      <w:r>
        <w:t xml:space="preserve"> </w:t>
      </w:r>
      <w:r>
        <w:t xml:space="preserve">甜菜碱酯、单烷基（醚）碳酸酯）以及对UV-光照、热及臭氧不稳定的各类表面活性剂</w:t>
      </w:r>
      <w:r>
        <w:t xml:space="preserve">。</w:t>
      </w:r>
      <w:r>
        <w:t xml:space="preserve"> </w:t>
      </w:r>
      <w:r>
        <w:t xml:space="preserve">发展可分解表面活性剂最初是面向解决传统表面活性剂难以生物降解带来的环境问题，这一方面已有</w:t>
      </w:r>
      <w:r>
        <w:t xml:space="preserve"> </w:t>
      </w:r>
      <w:r>
        <w:t xml:space="preserve">PPS、ProteaseMAX、RapiGest SF等商品化洗涤产品。此外，可分解型表面活性剂亦可用于用于乳液</w:t>
      </w:r>
      <w:r>
        <w:t xml:space="preserve"> </w:t>
      </w:r>
      <w:r>
        <w:t xml:space="preserve">破乳、纳米粒子及聚合物制备的模板剂</w:t>
      </w:r>
      <w:r>
        <w:t xml:space="preserve">、膜蛋白的质谱分析</w:t>
      </w:r>
      <w:r>
        <w:t xml:space="preserve">及胶束电动</w:t>
      </w:r>
      <w:r>
        <w:t xml:space="preserve"> </w:t>
      </w:r>
      <w:r>
        <w:t xml:space="preserve">色谱</w:t>
      </w:r>
      <w:r>
        <w:t xml:space="preserve">、囊泡药物装载及释放</w:t>
      </w:r>
      <w:r>
        <w:t xml:space="preserve">等方面。但与此同时，化学或酶催化降解</w:t>
      </w:r>
      <w:r>
        <w:t xml:space="preserve"> </w:t>
      </w:r>
      <w:r>
        <w:t xml:space="preserve">的可分解表面活性剂或是并不能完全适应于微生物降解</w:t>
      </w:r>
      <w:r>
        <w:t xml:space="preserve">，或是降解速率有待提高，</w:t>
      </w:r>
      <w:r>
        <w:t xml:space="preserve"> </w:t>
      </w:r>
      <w:r>
        <w:t xml:space="preserve">更重要的是可分解表面活性剂的分解过程具有不可逆性</w:t>
      </w:r>
      <w:r>
        <w:t xml:space="preserve">。</w:t>
      </w:r>
    </w:p>
    <w:p>
      <w:pPr>
        <w:pStyle w:val="Heading3"/>
      </w:pPr>
      <w:bookmarkStart w:id="25" w:name="开关型表面活性剂"/>
      <w:bookmarkEnd w:id="25"/>
      <w:r>
        <w:t xml:space="preserve">开关型表面活性剂</w:t>
      </w:r>
    </w:p>
    <w:p>
      <w:pPr>
        <w:pStyle w:val="FirstParagraph"/>
      </w:pPr>
      <w:r>
        <w:t xml:space="preserve">20世纪80年代以来，开始发展出各种触发机制的开关表面活性剂（switchable surfactants），</w:t>
      </w:r>
      <w:r>
        <w:t xml:space="preserve"> </w:t>
      </w:r>
      <w:r>
        <w:t xml:space="preserve">用于可逆地调控表面活性剂性质。例如，需要聚合物乳胶悬浮液在储存运输过程中保持稳定，</w:t>
      </w:r>
      <w:r>
        <w:t xml:space="preserve"> </w:t>
      </w:r>
      <w:r>
        <w:t xml:space="preserve">但当其被施工涂刷到物体表面之后，就需要对针对悬浮液</w:t>
      </w:r>
      <w:r>
        <w:t xml:space="preserve">“</w:t>
      </w:r>
      <w:r>
        <w:t xml:space="preserve">稳定</w:t>
      </w:r>
      <w:r>
        <w:t xml:space="preserve">”</w:t>
      </w:r>
      <w:r>
        <w:t xml:space="preserve">的性质进行</w:t>
      </w:r>
      <w:r>
        <w:t xml:space="preserve">“</w:t>
      </w:r>
      <w:r>
        <w:t xml:space="preserve">关闭</w:t>
      </w:r>
      <w:r>
        <w:t xml:space="preserve">”</w:t>
      </w:r>
      <w:r>
        <w:t xml:space="preserve">，这显然是</w:t>
      </w:r>
      <w:r>
        <w:t xml:space="preserve"> </w:t>
      </w:r>
      <w:r>
        <w:t xml:space="preserve">开关表面活性剂的优点</w:t>
      </w:r>
      <w:r>
        <w:t xml:space="preserve">，同时这种性质上的</w:t>
      </w:r>
      <w:r>
        <w:t xml:space="preserve">“</w:t>
      </w:r>
      <w:r>
        <w:t xml:space="preserve">关闭</w:t>
      </w:r>
      <w:r>
        <w:t xml:space="preserve">”</w:t>
      </w:r>
      <w:r>
        <w:t xml:space="preserve">是可以恢复的，这也是</w:t>
      </w:r>
      <w:r>
        <w:t xml:space="preserve"> </w:t>
      </w:r>
      <w:r>
        <w:t xml:space="preserve">相较于可分解型表面活性剂的独到优势。例如，非离子表面活性剂就是一类传统的温度开关</w:t>
      </w:r>
      <w:r>
        <w:t xml:space="preserve"> </w:t>
      </w:r>
      <w:r>
        <w:t xml:space="preserve">表面活性剂，当温度上升，其亲水性降低、表面活性降低，但当温度恢复时其性质亦恢复。</w:t>
      </w:r>
      <w:r>
        <w:t xml:space="preserve"> </w:t>
      </w:r>
      <w:r>
        <w:t xml:space="preserve">根据这些刺激响应的方式，可以将开关表面活性剂分为：光开关、磁开关、温度开关、酸碱</w:t>
      </w:r>
      <w:r>
        <w:t xml:space="preserve"> </w:t>
      </w:r>
      <w:r>
        <w:t xml:space="preserve">开关、开关以及氧化还原开关和酶开关表面活性剂</w:t>
      </w:r>
      <w:r>
        <w:t xml:space="preserve">。</w:t>
      </w:r>
    </w:p>
    <w:p>
      <w:pPr>
        <w:pStyle w:val="Heading3"/>
      </w:pPr>
      <w:bookmarkStart w:id="26" w:name="光开关表面活性剂"/>
      <w:bookmarkEnd w:id="26"/>
      <w:r>
        <w:t xml:space="preserve">(1) 光开关表面活性剂</w:t>
      </w:r>
    </w:p>
    <w:p>
      <w:pPr>
        <w:pStyle w:val="FirstParagraph"/>
      </w:pPr>
      <w:r>
        <w:t xml:space="preserve">光开关表面活性剂在非极性疏水尾链或极性亲水头基中具有适当的显色基团</w:t>
      </w:r>
      <w:r>
        <w:t xml:space="preserve">。</w:t>
      </w:r>
      <w:r>
        <w:t xml:space="preserve"> </w:t>
      </w:r>
      <w:r>
        <w:t xml:space="preserve">根据所需光照条件可将光开关表面活性剂分为两类：一类是稳定型的，利用不同波长的光可</w:t>
      </w:r>
      <w:r>
        <w:t xml:space="preserve"> </w:t>
      </w:r>
      <w:r>
        <w:t xml:space="preserve">调节表面活性剂的表面活性；另一类是不稳定的，只有用连续光照才能够实现其表面活性的转变。</w:t>
      </w:r>
    </w:p>
    <w:p>
      <w:pPr>
        <w:pStyle w:val="BodyText"/>
      </w:pPr>
      <w:r>
        <w:t xml:space="preserve">根据表面活性剂分子在转变中的变化特点，可以将光开关表面活性剂分为顺反异构型、裂解-聚合型</w:t>
      </w:r>
      <w:r>
        <w:t xml:space="preserve"> </w:t>
      </w:r>
      <w:r>
        <w:t xml:space="preserve">以及极性变化型开关表面活性</w:t>
      </w:r>
      <w:r>
        <w:t xml:space="preserve">。顺反异构型开关表面活性剂是</w:t>
      </w:r>
      <w:r>
        <w:t xml:space="preserve"> </w:t>
      </w:r>
      <w:r>
        <w:t xml:space="preserve">研究较早的光开关表面活性剂，其主要结构有偶氮苯类、二苯乙烯类以及烷基苯乙烯衍生物等。</w:t>
      </w:r>
      <w:r>
        <w:t xml:space="preserve"> </w:t>
      </w:r>
      <w:r>
        <w:t xml:space="preserve">异构型光开关表面活性剂的代表型结构见图[fig:switchable-light]</w:t>
      </w:r>
      <w:r>
        <w:t xml:space="preserve">。</w:t>
      </w:r>
    </w:p>
    <w:p>
      <w:pPr>
        <w:pStyle w:val="BodyText"/>
      </w:pPr>
      <w:r>
        <w:drawing>
          <wp:inline>
            <wp:extent cx="3810000" cy="2540000"/>
            <wp:effectExtent b="0" l="0" r="0" t="0"/>
            <wp:docPr descr="异构型光开关表面活性剂代表结构" title="fig:" id="1" name="Picture"/>
            <a:graphic>
              <a:graphicData uri="http://schemas.openxmlformats.org/drawingml/2006/picture">
                <pic:pic>
                  <pic:nvPicPr>
                    <pic:cNvPr descr="Figure/switchable-light.pdf"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t xml:space="preserve">其中，偶氮型光开关表面活性剂研究较早，应用较广，但是一些光敏型表面活性剂</w:t>
      </w:r>
      <w:r>
        <w:t xml:space="preserve">如偶氮类分解型及</w:t>
      </w:r>
      <w:r>
        <w:t xml:space="preserve"> </w:t>
      </w:r>
      <w:r>
        <w:t xml:space="preserve">光照不可逆型的表面活性剂当属于刺激响应型表面活性剂，确切地分类应不属于开关型表面活性剂。刘清斌在其硕士论文中对光敏型表面活性剂做了总结。</w:t>
      </w:r>
    </w:p>
    <w:p>
      <w:pPr>
        <w:pStyle w:val="BodyText"/>
      </w:pPr>
      <w:r>
        <w:t xml:space="preserve">光开关表面活性剂在生物医药、环境修复及减阻传热等方面具有应用价值</w:t>
      </w:r>
      <w:r>
        <w:t xml:space="preserve">，其中</w:t>
      </w:r>
      <w:r>
        <w:t xml:space="preserve"> </w:t>
      </w:r>
      <w:r>
        <w:t xml:space="preserve">关于偶氮类光致异构化的表面活性剂研究较多，Chen等</w:t>
      </w:r>
      <w:r>
        <w:t xml:space="preserve">采用偶氮类阳离子表面活性剂</w:t>
      </w:r>
      <w:r>
        <w:t xml:space="preserve"> </w:t>
      </w:r>
      <w:r>
        <w:t xml:space="preserve">BTAEAzo实现绿色化的泡沫染整工艺。</w:t>
      </w:r>
    </w:p>
    <w:p>
      <w:pPr>
        <w:pStyle w:val="BodyText"/>
      </w:pPr>
      <w:r>
        <w:t xml:space="preserve">除光开关表面活性剂之外，还可以使用具有光刺激响应分子与表面活性剂作用，构成具有光刺激响应</w:t>
      </w:r>
      <w:r>
        <w:t xml:space="preserve"> </w:t>
      </w:r>
      <w:r>
        <w:t xml:space="preserve">的体系。Zhao等</w:t>
      </w:r>
      <w:r>
        <w:t xml:space="preserve">将反式邻甲氧基肉桂酸与N-甲基-N-乙基吡咯烷溴化物（C16MPB）在</w:t>
      </w:r>
      <w:r>
        <w:t xml:space="preserve"> </w:t>
      </w:r>
      <w:r>
        <w:t xml:space="preserve">碱性条件下自组装为粘弹性蠕虫状胶束，经UV光照后反式邻甲氧基肉桂酸构型转变，从而使体系转变</w:t>
      </w:r>
      <w:r>
        <w:t xml:space="preserve"> </w:t>
      </w:r>
      <w:r>
        <w:t xml:space="preserve">成球形或棒状胶束，见图[fig:switchable-light-omca]。</w:t>
      </w:r>
    </w:p>
    <w:p>
      <w:pPr>
        <w:pStyle w:val="BodyText"/>
      </w:pPr>
      <w:r>
        <w:drawing>
          <wp:inline>
            <wp:extent cx="3167149" cy="1857894"/>
            <wp:effectExtent b="0" l="0" r="0" t="0"/>
            <wp:docPr descr="N-甲基-N-乙基吡咯烷溴化物 (C16MPB) 与邻甲氧基肉桂酸构建的光刺激响应性体系" title="fig:" id="1" name="Picture"/>
            <a:graphic>
              <a:graphicData uri="http://schemas.openxmlformats.org/drawingml/2006/picture">
                <pic:pic>
                  <pic:nvPicPr>
                    <pic:cNvPr descr="figure/switchable-light-omca.jpg" id="0" name="Picture"/>
                    <pic:cNvPicPr>
                      <a:picLocks noChangeArrowheads="1" noChangeAspect="1"/>
                    </pic:cNvPicPr>
                  </pic:nvPicPr>
                  <pic:blipFill>
                    <a:blip r:embed="rId28"/>
                    <a:stretch>
                      <a:fillRect/>
                    </a:stretch>
                  </pic:blipFill>
                  <pic:spPr bwMode="auto">
                    <a:xfrm>
                      <a:off x="0" y="0"/>
                      <a:ext cx="3167149" cy="1857894"/>
                    </a:xfrm>
                    <a:prstGeom prst="rect">
                      <a:avLst/>
                    </a:prstGeom>
                    <a:noFill/>
                    <a:ln w="9525">
                      <a:noFill/>
                      <a:headEnd/>
                      <a:tailEnd/>
                    </a:ln>
                  </pic:spPr>
                </pic:pic>
              </a:graphicData>
            </a:graphic>
          </wp:inline>
        </w:drawing>
      </w:r>
      <w:r>
        <w:br w:type="textWrapping"/>
      </w:r>
    </w:p>
    <w:p>
      <w:pPr>
        <w:pStyle w:val="Heading3"/>
      </w:pPr>
      <w:bookmarkStart w:id="29" w:name="磁开关表面活性剂"/>
      <w:bookmarkEnd w:id="29"/>
      <w:r>
        <w:t xml:space="preserve">(2) 磁开关表面活性剂</w:t>
      </w:r>
    </w:p>
    <w:p>
      <w:pPr>
        <w:pStyle w:val="FirstParagraph"/>
      </w:pPr>
      <w:r>
        <w:t xml:space="preserve">磁开关表面活性剂主要为含有磁响应结构，包含离子液体、螯合型以及多金属氧酸盐表面活性剂，</w:t>
      </w:r>
      <w:r>
        <w:t xml:space="preserve"> </w:t>
      </w:r>
      <w:r>
        <w:t xml:space="preserve">此外，磁性有机分子表面活性剂是有待发展的新一类磁表面活性剂</w:t>
      </w:r>
      <w:r>
        <w:t xml:space="preserve">，磁响应表面</w:t>
      </w:r>
      <w:r>
        <w:t xml:space="preserve"> </w:t>
      </w:r>
      <w:r>
        <w:t xml:space="preserve">活性剂可用于蛋白质分离、水处理以及环境修复</w:t>
      </w:r>
      <w:r>
        <w:t xml:space="preserve">等方面。主要类别磁响应表面活</w:t>
      </w:r>
      <w:r>
        <w:t xml:space="preserve"> </w:t>
      </w:r>
      <w:r>
        <w:t xml:space="preserve">性剂见图[fig:switchable-mag]。</w:t>
      </w:r>
    </w:p>
    <w:p>
      <w:pPr>
        <w:pStyle w:val="BodyText"/>
      </w:pPr>
      <w:r>
        <w:drawing>
          <wp:inline>
            <wp:extent cx="5334000" cy="2937565"/>
            <wp:effectExtent b="0" l="0" r="0" t="0"/>
            <wp:docPr descr="主要类别的磁开关表面活性剂" title="fig:" id="1" name="Picture"/>
            <a:graphic>
              <a:graphicData uri="http://schemas.openxmlformats.org/drawingml/2006/picture">
                <pic:pic>
                  <pic:nvPicPr>
                    <pic:cNvPr descr="figure/switchable-mag.jpg" id="0" name="Picture"/>
                    <pic:cNvPicPr>
                      <a:picLocks noChangeArrowheads="1" noChangeAspect="1"/>
                    </pic:cNvPicPr>
                  </pic:nvPicPr>
                  <pic:blipFill>
                    <a:blip r:embed="rId30"/>
                    <a:stretch>
                      <a:fillRect/>
                    </a:stretch>
                  </pic:blipFill>
                  <pic:spPr bwMode="auto">
                    <a:xfrm>
                      <a:off x="0" y="0"/>
                      <a:ext cx="5334000" cy="2937565"/>
                    </a:xfrm>
                    <a:prstGeom prst="rect">
                      <a:avLst/>
                    </a:prstGeom>
                    <a:noFill/>
                    <a:ln w="9525">
                      <a:noFill/>
                      <a:headEnd/>
                      <a:tailEnd/>
                    </a:ln>
                  </pic:spPr>
                </pic:pic>
              </a:graphicData>
            </a:graphic>
          </wp:inline>
        </w:drawing>
      </w:r>
      <w:r>
        <w:br w:type="textWrapping"/>
      </w:r>
    </w:p>
    <w:p>
      <w:pPr>
        <w:pStyle w:val="Heading3"/>
      </w:pPr>
      <w:bookmarkStart w:id="31" w:name="温度开关表面活性剂"/>
      <w:bookmarkEnd w:id="31"/>
      <w:r>
        <w:t xml:space="preserve">(3) 温度开关表面活性剂</w:t>
      </w:r>
    </w:p>
    <w:p>
      <w:pPr>
        <w:pStyle w:val="FirstParagraph"/>
      </w:pPr>
      <w:r>
        <w:t xml:space="preserve">非离子型表面活性剂是典型的温度开关表面活性剂，随温度升高其亲水性会逐渐下降，至浊点时其</w:t>
      </w:r>
      <w:r>
        <w:t xml:space="preserve"> </w:t>
      </w:r>
      <w:r>
        <w:t xml:space="preserve">亲水性显著降低，表面活性变差，而当温度降低后其又可恢复表面活性。Chu</w:t>
      </w:r>
      <w:r>
        <w:t xml:space="preserve">等以</w:t>
      </w:r>
      <w:r>
        <w:t xml:space="preserve"> </w:t>
      </w:r>
      <w:r>
        <w:t xml:space="preserve">棕榈酰氨基磺基甜菜碱 (PDAS) 为表面活性剂制备了一种具有温度响应的凝胶，在 30 ℃ 时形成</w:t>
      </w:r>
      <w:r>
        <w:t xml:space="preserve"> </w:t>
      </w:r>
      <w:r>
        <w:t xml:space="preserve">球状或短棒状胶束，在 40 ℃ 时则形成网络蠕虫状胶束[fig:switchable-temperature]，这是由于加热时疏水部分溶解度降低，</w:t>
      </w:r>
      <w:r>
        <w:t xml:space="preserve"> </w:t>
      </w:r>
      <w:r>
        <w:t xml:space="preserve">从而形成网状交联凝胶。</w:t>
      </w:r>
    </w:p>
    <w:p>
      <w:pPr>
        <w:pStyle w:val="BodyText"/>
      </w:pPr>
      <w:r>
        <w:drawing>
          <wp:inline>
            <wp:extent cx="2623930" cy="889934"/>
            <wp:effectExtent b="0" l="0" r="0" t="0"/>
            <wp:docPr descr="应用温度开关表面活性剂的可转换温感凝胶" title="fig:" id="1" name="Picture"/>
            <a:graphic>
              <a:graphicData uri="http://schemas.openxmlformats.org/drawingml/2006/picture">
                <pic:pic>
                  <pic:nvPicPr>
                    <pic:cNvPr descr="figure/switchable-temperature.jpg" id="0" name="Picture"/>
                    <pic:cNvPicPr>
                      <a:picLocks noChangeArrowheads="1" noChangeAspect="1"/>
                    </pic:cNvPicPr>
                  </pic:nvPicPr>
                  <pic:blipFill>
                    <a:blip r:embed="rId32"/>
                    <a:stretch>
                      <a:fillRect/>
                    </a:stretch>
                  </pic:blipFill>
                  <pic:spPr bwMode="auto">
                    <a:xfrm>
                      <a:off x="0" y="0"/>
                      <a:ext cx="2623930" cy="889934"/>
                    </a:xfrm>
                    <a:prstGeom prst="rect">
                      <a:avLst/>
                    </a:prstGeom>
                    <a:noFill/>
                    <a:ln w="9525">
                      <a:noFill/>
                      <a:headEnd/>
                      <a:tailEnd/>
                    </a:ln>
                  </pic:spPr>
                </pic:pic>
              </a:graphicData>
            </a:graphic>
          </wp:inline>
        </w:drawing>
      </w:r>
      <w:r>
        <w:br w:type="textWrapping"/>
      </w:r>
    </w:p>
    <w:p>
      <w:pPr>
        <w:pStyle w:val="Heading3"/>
      </w:pPr>
      <w:bookmarkStart w:id="33" w:name="酸碱开关表面活性剂"/>
      <w:bookmarkEnd w:id="33"/>
      <w:r>
        <w:t xml:space="preserve">(4) 酸碱开关表面活性剂</w:t>
      </w:r>
    </w:p>
    <w:p>
      <w:pPr>
        <w:pStyle w:val="FirstParagraph"/>
      </w:pPr>
      <w:r>
        <w:t xml:space="preserve">酸碱开关表面活性剂，亦即 pH 开关表面活性剂，此类表面活性剂通常含有羧酸、脒基、</w:t>
      </w:r>
      <w:r>
        <w:t xml:space="preserve"> </w:t>
      </w:r>
      <w:r>
        <w:t xml:space="preserve">胍基等酸性或碱性基团，在 pH 发生变化时，这些基团接受或给予质子，导致表面活性剂的</w:t>
      </w:r>
      <w:r>
        <w:t xml:space="preserve"> </w:t>
      </w:r>
      <w:r>
        <w:t xml:space="preserve">亲疏水性发生变化，从而调控表面活性剂的表面活性</w:t>
      </w:r>
      <w:r>
        <w:t xml:space="preserve">。Lv等</w:t>
      </w:r>
      <w:r>
        <w:t xml:space="preserve"> </w:t>
      </w:r>
      <w:r>
        <w:t xml:space="preserve">合成了一类酸碱开关 Gemini 表面活性剂，通过调控 pH 可实现制备的乳液在O/W乳液和</w:t>
      </w:r>
      <w:r>
        <w:t xml:space="preserve"> </w:t>
      </w:r>
      <w:r>
        <w:t xml:space="preserve">W/O乳液之间转变，图[fig:switchable-ph]。</w:t>
      </w:r>
    </w:p>
    <w:p>
      <w:pPr>
        <w:pStyle w:val="BodyText"/>
      </w:pPr>
      <w:r>
        <w:drawing>
          <wp:inline>
            <wp:extent cx="3048000" cy="1648968"/>
            <wp:effectExtent b="0" l="0" r="0" t="0"/>
            <wp:docPr descr="pH开关表面活性剂控制的乳液类型转变" title="fig:" id="1" name="Picture"/>
            <a:graphic>
              <a:graphicData uri="http://schemas.openxmlformats.org/drawingml/2006/picture">
                <pic:pic>
                  <pic:nvPicPr>
                    <pic:cNvPr descr="figure/switchable-ph.jpg" id="0" name="Picture"/>
                    <pic:cNvPicPr>
                      <a:picLocks noChangeArrowheads="1" noChangeAspect="1"/>
                    </pic:cNvPicPr>
                  </pic:nvPicPr>
                  <pic:blipFill>
                    <a:blip r:embed="rId34"/>
                    <a:stretch>
                      <a:fillRect/>
                    </a:stretch>
                  </pic:blipFill>
                  <pic:spPr bwMode="auto">
                    <a:xfrm>
                      <a:off x="0" y="0"/>
                      <a:ext cx="3048000" cy="1648968"/>
                    </a:xfrm>
                    <a:prstGeom prst="rect">
                      <a:avLst/>
                    </a:prstGeom>
                    <a:noFill/>
                    <a:ln w="9525">
                      <a:noFill/>
                      <a:headEnd/>
                      <a:tailEnd/>
                    </a:ln>
                  </pic:spPr>
                </pic:pic>
              </a:graphicData>
            </a:graphic>
          </wp:inline>
        </w:drawing>
      </w:r>
      <w:r>
        <w:br w:type="textWrapping"/>
      </w:r>
    </w:p>
    <w:p>
      <w:pPr>
        <w:pStyle w:val="BodyText"/>
      </w:pPr>
      <w:r>
        <w:t xml:space="preserve">除通过pH调节表面活性剂的亲疏水性改变体系性质外，Brazdova</w:t>
      </w:r>
      <w:r>
        <w:t xml:space="preserve">等</w:t>
      </w:r>
      <w:r>
        <w:t xml:space="preserve"> </w:t>
      </w:r>
      <w:r>
        <w:t xml:space="preserve">制得脂质体表面活性剂，通过 pH 控制分子构象发生转换作为开关，见图[fig:switchable-ph-conformation]。</w:t>
      </w:r>
    </w:p>
    <w:p>
      <w:pPr>
        <w:pStyle w:val="BodyText"/>
      </w:pPr>
      <w:r>
        <w:drawing>
          <wp:inline>
            <wp:extent cx="4991100" cy="4486275"/>
            <wp:effectExtent b="0" l="0" r="0" t="0"/>
            <wp:docPr descr="pH 触发的氨基环己醇衍生脂质构象变化" title="fig:" id="1" name="Picture"/>
            <a:graphic>
              <a:graphicData uri="http://schemas.openxmlformats.org/drawingml/2006/picture">
                <pic:pic>
                  <pic:nvPicPr>
                    <pic:cNvPr descr="figure/switchable-ph-conformation.png" id="0" name="Picture"/>
                    <pic:cNvPicPr>
                      <a:picLocks noChangeArrowheads="1" noChangeAspect="1"/>
                    </pic:cNvPicPr>
                  </pic:nvPicPr>
                  <pic:blipFill>
                    <a:blip r:embed="rId35"/>
                    <a:stretch>
                      <a:fillRect/>
                    </a:stretch>
                  </pic:blipFill>
                  <pic:spPr bwMode="auto">
                    <a:xfrm>
                      <a:off x="0" y="0"/>
                      <a:ext cx="4991100" cy="4486275"/>
                    </a:xfrm>
                    <a:prstGeom prst="rect">
                      <a:avLst/>
                    </a:prstGeom>
                    <a:noFill/>
                    <a:ln w="9525">
                      <a:noFill/>
                      <a:headEnd/>
                      <a:tailEnd/>
                    </a:ln>
                  </pic:spPr>
                </pic:pic>
              </a:graphicData>
            </a:graphic>
          </wp:inline>
        </w:drawing>
      </w:r>
      <w:r>
        <w:br w:type="textWrapping"/>
      </w:r>
    </w:p>
    <w:p>
      <w:pPr>
        <w:pStyle w:val="Heading3"/>
      </w:pPr>
      <w:bookmarkStart w:id="36" w:name="开关表面活性剂"/>
      <w:bookmarkEnd w:id="36"/>
      <w:r>
        <w:t xml:space="preserve">(5) /开关表面活性剂</w:t>
      </w:r>
    </w:p>
    <w:p>
      <w:pPr>
        <w:pStyle w:val="FirstParagraph"/>
      </w:pPr>
      <w:r>
        <w:t xml:space="preserve">型开关表面活性剂其作用原理在本质上和酸碱开关表面活性剂类似，利用</w:t>
      </w:r>
      <w:r>
        <w:t xml:space="preserve"> </w:t>
      </w:r>
      <w:r>
        <w:t xml:space="preserve">气体的弱酸性，随着的通入和排出，体系的 pH 发生变化，从而引起体系内可离子化基团的</w:t>
      </w:r>
      <w:r>
        <w:t xml:space="preserve"> </w:t>
      </w:r>
      <w:r>
        <w:t xml:space="preserve">质子化或去质子化，导致表面活性剂亲疏水性发生变化，进而影响体系的表面活性。迄今为止，</w:t>
      </w:r>
      <w:r>
        <w:t xml:space="preserve"> </w:t>
      </w:r>
      <w:r>
        <w:t xml:space="preserve">开关型表面活性剂主要包括脒/体系、胍/体系以及胺/体系</w:t>
      </w:r>
      <w:r>
        <w:t xml:space="preserve">。</w:t>
      </w:r>
    </w:p>
    <w:p>
      <w:pPr>
        <w:pStyle w:val="BodyText"/>
      </w:pPr>
      <w:r>
        <w:t xml:space="preserve">型开关表面活性剂采用作为调控手段，相比其他调控手段而言，具有价格便宜、</w:t>
      </w:r>
      <w:r>
        <w:t xml:space="preserve"> </w:t>
      </w:r>
      <w:r>
        <w:t xml:space="preserve">无毒无害且易于脱除等优点</w:t>
      </w:r>
      <w:r>
        <w:t xml:space="preserve">，可应用于重油输送、土壤清洗、油砂分离及乳化</w:t>
      </w:r>
      <w:r>
        <w:t xml:space="preserve"> </w:t>
      </w:r>
      <w:r>
        <w:t xml:space="preserve">聚合</w:t>
      </w:r>
      <w:r>
        <w:t xml:space="preserve">。同可分解表面活性剂一样，早在开关表面活性剂概念提出之前，型</w:t>
      </w:r>
      <w:r>
        <w:t xml:space="preserve"> </w:t>
      </w:r>
      <w:r>
        <w:t xml:space="preserve">开关表面活性剂已投入使用，Moore 和 Lefevre 采用作为丁二烯/苯乙烯乳液聚合的开关表面</w:t>
      </w:r>
      <w:r>
        <w:t xml:space="preserve"> </w:t>
      </w:r>
      <w:r>
        <w:t xml:space="preserve">活性剂，见图[fig:switchable-co2-a]，其中式左化合物具有乳化作用而式右化合物不具有乳化作用。</w:t>
      </w:r>
    </w:p>
    <w:p>
      <w:pPr>
        <w:pStyle w:val="FigureWithCaption"/>
      </w:pPr>
      <w:r>
        <w:drawing>
          <wp:inline>
            <wp:extent cx="3810000" cy="2540000"/>
            <wp:effectExtent b="0" l="0" r="0" t="0"/>
            <wp:docPr descr="早期应用及研究的型开关表面活性剂" title="" id="1" name="Picture"/>
            <a:graphic>
              <a:graphicData uri="http://schemas.openxmlformats.org/drawingml/2006/picture">
                <pic:pic>
                  <pic:nvPicPr>
                    <pic:cNvPr descr="Figure/switchable-co2-a.pdf"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早期应用及研究的型开关表面活性剂</w:t>
      </w:r>
    </w:p>
    <w:p>
      <w:pPr>
        <w:pStyle w:val="FigureWithCaption"/>
      </w:pPr>
      <w:r>
        <w:drawing>
          <wp:inline>
            <wp:extent cx="3810000" cy="2540000"/>
            <wp:effectExtent b="0" l="0" r="0" t="0"/>
            <wp:docPr descr="早期应用及研究的型开关表面活性剂" title="" id="1" name="Picture"/>
            <a:graphic>
              <a:graphicData uri="http://schemas.openxmlformats.org/drawingml/2006/picture">
                <pic:pic>
                  <pic:nvPicPr>
                    <pic:cNvPr descr="Figure/switchable-co2-b.pdf"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早期应用及研究的型开关表面活性剂</w:t>
      </w:r>
    </w:p>
    <w:p>
      <w:pPr>
        <w:pStyle w:val="BodyText"/>
      </w:pPr>
      <w:r>
        <w:t xml:space="preserve">2006年，Jessop课题组</w:t>
      </w:r>
      <w:r>
        <w:t xml:space="preserve">提出一类脒类化合物可用于开关表面活性剂，</w:t>
      </w:r>
      <w:r>
        <w:t xml:space="preserve"> </w:t>
      </w:r>
      <w:r>
        <w:t xml:space="preserve">见图[fig:switchable-co2-b]。此外，三级胺也可用于开关表面活性剂，但一级、二级胺</w:t>
      </w:r>
      <w:r>
        <w:t xml:space="preserve"> </w:t>
      </w:r>
      <w:r>
        <w:t xml:space="preserve">则因为形成氨基甲酸酯在开关表面活性剂应用中有所难度</w:t>
      </w:r>
      <w:r>
        <w:t xml:space="preserve">。</w:t>
      </w:r>
    </w:p>
    <w:p>
      <w:pPr>
        <w:pStyle w:val="Heading3"/>
      </w:pPr>
      <w:bookmarkStart w:id="39" w:name="氧化还原开关表面活性剂"/>
      <w:bookmarkEnd w:id="39"/>
      <w:r>
        <w:t xml:space="preserve">(6) 氧化还原开关表面活性剂</w:t>
      </w:r>
    </w:p>
    <w:p>
      <w:pPr>
        <w:pStyle w:val="FirstParagraph"/>
      </w:pPr>
      <w:r>
        <w:t xml:space="preserve">氧化还原型开关表面活性剂主要采用电化学方法或化学手段改变表面活性剂分子结构，从而达到</w:t>
      </w:r>
      <w:r>
        <w:t xml:space="preserve"> </w:t>
      </w:r>
      <w:r>
        <w:t xml:space="preserve">调整表面活性的目的。其中，前者研究最早且较为成熟的是二茂铁基表面活性剂，其包含阳离子-两性离子</w:t>
      </w:r>
      <w:r>
        <w:t xml:space="preserve"> </w:t>
      </w:r>
      <w:r>
        <w:t xml:space="preserve">可逆转换和阴离子-两性离子可逆转换两类</w:t>
      </w:r>
      <w:r>
        <w:t xml:space="preserve">。图[fig:switchable-redox-cp2fe]中前者是</w:t>
      </w:r>
      <w:r>
        <w:t xml:space="preserve"> </w:t>
      </w:r>
      <w:r>
        <w:t xml:space="preserve">一类二茂铁基表面活性剂。但二茂铁基开关表面活性剂所需使用的二茂铁基团价格对该类表面活性剂的广泛</w:t>
      </w:r>
      <w:r>
        <w:t xml:space="preserve"> </w:t>
      </w:r>
      <w:r>
        <w:t xml:space="preserve">使用有所限制。</w:t>
      </w:r>
    </w:p>
    <w:p>
      <w:pPr>
        <w:pStyle w:val="BodyText"/>
      </w:pPr>
      <w:r>
        <w:br w:type="textWrapping"/>
      </w:r>
    </w:p>
    <w:p>
      <w:pPr>
        <w:pStyle w:val="BodyText"/>
      </w:pPr>
      <w:r>
        <w:t xml:space="preserve">此外，甲基紫类结构，即联吡啶类结构的表面活性剂也是一类良好的氧化还原型开关表面活性剂，</w:t>
      </w:r>
      <w:r>
        <w:t xml:space="preserve"> </w:t>
      </w:r>
      <w:r>
        <w:t xml:space="preserve">但此类表面活性剂毒性高，如氯化二甲基联吡啶（即百草枯主要成分，一种高毒植物农药）。</w:t>
      </w:r>
    </w:p>
    <w:p>
      <w:pPr>
        <w:pStyle w:val="BodyText"/>
      </w:pPr>
      <w:r>
        <w:t xml:space="preserve">除电化学方法实现的氧化还原开关表面活性剂外，含二硫键结构的表面活性剂可在含巯基试剂作用下断裂，</w:t>
      </w:r>
      <w:r>
        <w:t xml:space="preserve"> </w:t>
      </w:r>
      <w:r>
        <w:t xml:space="preserve">从而改变分子结构。</w:t>
      </w:r>
    </w:p>
    <w:p>
      <w:pPr>
        <w:pStyle w:val="Heading2"/>
      </w:pPr>
      <w:bookmarkStart w:id="40" w:name="含硒表面活性剂"/>
      <w:bookmarkEnd w:id="40"/>
      <w:r>
        <w:t xml:space="preserve">含硒表面活性剂</w:t>
      </w:r>
    </w:p>
    <w:p>
      <w:pPr>
        <w:pStyle w:val="FirstParagraph"/>
      </w:pPr>
      <w:r>
        <w:t xml:space="preserve">含硒表面活性剂是一类新型的氧化还原型开关表面活性剂，2010年Zhang Xi等</w:t>
      </w:r>
      <w:r>
        <w:t xml:space="preserve"> </w:t>
      </w:r>
      <w:r>
        <w:t xml:space="preserve">首次报道了一种含硒阳离子表面活性剂，利用其与具有羧酸根的两亲嵌段共聚物进行自组装，形成具有</w:t>
      </w:r>
      <w:r>
        <w:t xml:space="preserve"> </w:t>
      </w:r>
      <w:r>
        <w:t xml:space="preserve">氧化响应性的胶束，之后其课题组报道了多例利用硒原子实现的具有氧化还原刺激响应性的胶束体系，</w:t>
      </w:r>
      <w:r>
        <w:t xml:space="preserve"> </w:t>
      </w:r>
      <w:r>
        <w:t xml:space="preserve">硒原子分别位于两亲嵌段共聚物内部和侧链。</w:t>
      </w:r>
    </w:p>
    <w:p>
      <w:pPr>
        <w:pStyle w:val="BodyText"/>
      </w:pPr>
      <w:r>
        <w:t xml:space="preserve">2015年Liu X F等</w:t>
      </w:r>
      <w:r>
        <w:t xml:space="preserve">报道了含硒磺基甜菜碱类表面活性剂，</w:t>
      </w:r>
    </w:p>
    <w:p>
      <w:pPr>
        <w:pStyle w:val="Heading2"/>
      </w:pPr>
      <w:bookmarkStart w:id="41" w:name="囊泡"/>
      <w:bookmarkEnd w:id="41"/>
      <w:r>
        <w:t xml:space="preserve">囊泡</w:t>
      </w:r>
    </w:p>
    <w:p>
      <w:pPr>
        <w:pStyle w:val="FirstParagraph"/>
      </w:pPr>
      <w:r>
        <w:t xml:space="preserve">囊泡是一种由表面活性剂双分子层闭合而成的聚集体。双分子层内壁和外壁均为</w:t>
      </w:r>
      <w:r>
        <w:t xml:space="preserve"> </w:t>
      </w:r>
      <w:r>
        <w:t xml:space="preserve">亲水头基，内腔充满水相，疏水尾链则被包裹在双分子层内部（反相囊泡在有机相中形成，其双分子层</w:t>
      </w:r>
      <w:r>
        <w:t xml:space="preserve"> </w:t>
      </w:r>
      <w:r>
        <w:t xml:space="preserve">恰好翻转），囊泡一般是由这样的一层或多层双分子层闭合而成，一般具有球形结构，此外还有椭球形、</w:t>
      </w:r>
      <w:r>
        <w:t xml:space="preserve"> </w:t>
      </w:r>
      <w:r>
        <w:t xml:space="preserve">扁球形等。</w:t>
      </w:r>
    </w:p>
    <w:p>
      <w:pPr>
        <w:pStyle w:val="BodyText"/>
      </w:pPr>
      <w:r>
        <w:t xml:space="preserve">囊泡是表面活性剂分子构成的聚集体结构中的一种，按照Israelachvili和Mitchell等人提出的临界堆积参数</w:t>
      </w:r>
      <w:r>
        <w:t xml:space="preserve"> </w:t>
      </w:r>
      <w:r>
        <w:t xml:space="preserve">理论 (critical packing parameter theory)，可以通过表面活性剂分子的几何形状对其在水溶液中的聚集体进行预测：</w:t>
      </w:r>
    </w:p>
    <w:p>
      <w:pPr>
        <w:pStyle w:val="BodyText"/>
      </w:pPr>
      <m:oMathPara>
        <m:oMathParaPr>
          <m:jc m:val="center"/>
        </m:oMathParaPr>
        <m:oMath>
          <m:r>
            <m:t>p</m:t>
          </m:r>
          <m:r>
            <m:t>=</m:t>
          </m:r>
          <m:f>
            <m:fPr>
              <m:type m:val="bar"/>
            </m:fPr>
            <m:num>
              <m:r>
                <m:t>υ</m:t>
              </m:r>
            </m:num>
            <m:den>
              <m:r>
                <m:t>a</m:t>
              </m:r>
              <m:r>
                <m:t>l</m:t>
              </m:r>
            </m:den>
          </m:f>
        </m:oMath>
      </m:oMathPara>
    </w:p>
    <w:p>
      <w:pPr>
        <w:pStyle w:val="FirstParagraph"/>
      </w:pPr>
      <w:r>
        <w:t xml:space="preserve">式[eq:cpp]中，</w:t>
      </w:r>
      <m:oMath>
        <m:r>
          <m:t>p</m:t>
        </m:r>
      </m:oMath>
      <w:r>
        <w:t xml:space="preserve">为临界堆积参数，</w:t>
      </w:r>
      <m:oMath>
        <m:r>
          <m:t>a</m:t>
        </m:r>
      </m:oMath>
      <w:r>
        <w:t xml:space="preserve">为亲水头基平均占据横截面积，</w:t>
      </w:r>
      <m:oMath>
        <m:r>
          <m:t>l</m:t>
        </m:r>
      </m:oMath>
      <w:r>
        <w:t xml:space="preserve">为疏水链平均链长，</w:t>
      </w:r>
      <m:oMath>
        <m:r>
          <m:t>υ</m:t>
        </m:r>
      </m:oMath>
      <w:r>
        <w:t xml:space="preserve"> </w:t>
      </w:r>
      <w:r>
        <w:t xml:space="preserve">为疏水链的体积。当</w:t>
      </w:r>
      <m:oMath>
        <m:r>
          <m:t>p</m:t>
        </m:r>
        <m:r>
          <m:t>&lt;</m:t>
        </m:r>
        <m:r>
          <m:t>1</m:t>
        </m:r>
        <m:r>
          <m:t>/</m:t>
        </m:r>
        <m:r>
          <m:t>3</m:t>
        </m:r>
      </m:oMath>
      <w:r>
        <w:t xml:space="preserve">时一般形成球状胶束或不连续的立方相；当</w:t>
      </w:r>
      <m:oMath>
        <m:r>
          <m:t>1</m:t>
        </m:r>
        <m:r>
          <m:t>/</m:t>
        </m:r>
        <m:r>
          <m:t>3</m:t>
        </m:r>
        <m:r>
          <m:t>&lt;</m:t>
        </m:r>
        <m:r>
          <m:t>p</m:t>
        </m:r>
        <m:r>
          <m:t>&lt;</m:t>
        </m:r>
        <m:r>
          <m:t>1</m:t>
        </m:r>
        <m:r>
          <m:t>/</m:t>
        </m:r>
        <m:r>
          <m:t>2</m:t>
        </m:r>
      </m:oMath>
      <w:r>
        <w:t xml:space="preserve">时易形成椭球形或棒状</w:t>
      </w:r>
      <w:r>
        <w:t xml:space="preserve"> </w:t>
      </w:r>
      <w:r>
        <w:t xml:space="preserve">胶束；当</w:t>
      </w:r>
      <m:oMath>
        <m:r>
          <m:t>1</m:t>
        </m:r>
        <m:r>
          <m:t>/</m:t>
        </m:r>
        <m:r>
          <m:t>2</m:t>
        </m:r>
        <m:r>
          <m:t>&lt;</m:t>
        </m:r>
        <m:r>
          <m:t>p</m:t>
        </m:r>
        <m:r>
          <m:t>&lt;</m:t>
        </m:r>
        <m:r>
          <m:t>1</m:t>
        </m:r>
      </m:oMath>
      <w:r>
        <w:t xml:space="preserve">时可形成囊泡、碟形胶束或层状相等不同曲率的双分子层结构；当</w:t>
      </w:r>
      <m:oMath>
        <m:r>
          <m:t>p</m:t>
        </m:r>
        <m:r>
          <m:t>&gt;</m:t>
        </m:r>
        <m:r>
          <m:t>1</m:t>
        </m:r>
      </m:oMath>
      <w:r>
        <w:t xml:space="preserve">时会形成反相</w:t>
      </w:r>
      <w:r>
        <w:t xml:space="preserve"> </w:t>
      </w:r>
      <w:r>
        <w:t xml:space="preserve">结构，见图[fig:scheme-cpp]所示。</w:t>
      </w:r>
    </w:p>
    <w:p>
      <w:pPr>
        <w:pStyle w:val="BodyText"/>
      </w:pPr>
      <w:r>
        <w:br w:type="textWrapping"/>
      </w:r>
    </w:p>
    <w:p>
      <w:pPr>
        <w:pStyle w:val="BodyText"/>
      </w:pPr>
      <w:r>
        <w:t xml:space="preserve">囊泡显著区别于胶束等聚集体结构的一个特征是，具有囊泡结构的溶液在外观上呈现淡蓝色，并且囊泡属于</w:t>
      </w:r>
      <w:r>
        <w:t xml:space="preserve"> </w:t>
      </w:r>
      <w:r>
        <w:t xml:space="preserve">各向异性的相，在偏光片下呈现双折射纹理，在显微镜中通常能够观察到马耳他十字花</w:t>
      </w:r>
      <w:r>
        <w:t xml:space="preserve">。</w:t>
      </w:r>
    </w:p>
    <w:p>
      <w:pPr>
        <w:pStyle w:val="Heading3"/>
      </w:pPr>
      <w:bookmarkStart w:id="42" w:name="囊泡的制备方法"/>
      <w:bookmarkEnd w:id="42"/>
      <w:r>
        <w:t xml:space="preserve">囊泡的制备方法</w:t>
      </w:r>
    </w:p>
    <w:p>
      <w:pPr>
        <w:pStyle w:val="FirstParagraph"/>
      </w:pPr>
      <w:r>
        <w:t xml:space="preserve">脂质体是发现和研究最早的囊泡体系，所不同的是其双分子层为磷脂双分子层，Stoeckenius在1959年将磷脂</w:t>
      </w:r>
      <w:r>
        <w:t xml:space="preserve"> </w:t>
      </w:r>
      <w:r>
        <w:t xml:space="preserve">在水中溶胀得到多层结构</w:t>
      </w:r>
      <w:r>
        <w:t xml:space="preserve">，后被证明是闭合的双分子层结构。目前所说的囊泡一般指由表面</w:t>
      </w:r>
      <w:r>
        <w:t xml:space="preserve"> </w:t>
      </w:r>
      <w:r>
        <w:t xml:space="preserve">活性剂分子构成，早期构筑囊泡常需要借助外力，如采用溶胀法、乙醚注射法、超声分散法、挤压法等，但是</w:t>
      </w:r>
      <w:r>
        <w:t xml:space="preserve"> </w:t>
      </w:r>
      <w:r>
        <w:t xml:space="preserve">这些由外力制备的囊泡通常不稳定，所制备的囊泡容易解体</w:t>
      </w:r>
      <w:r>
        <w:t xml:space="preserve">。</w:t>
      </w:r>
    </w:p>
    <w:p>
      <w:pPr>
        <w:pStyle w:val="BodyText"/>
      </w:pPr>
      <w:r>
        <w:t xml:space="preserve">20世纪80年代出，人们开始关注于囊泡的自发形成，1983年Ninham等人</w:t>
      </w:r>
      <w:r>
        <w:t xml:space="preserve">发现双十二烷基</w:t>
      </w:r>
      <w:r>
        <w:t xml:space="preserve"> </w:t>
      </w:r>
      <w:r>
        <w:t xml:space="preserve">二甲基氢氧化铵 (DDAOH) 可以自发形成囊泡并且相当稳定，随后发现双十二烷基二甲基铵盐也可以自发形成</w:t>
      </w:r>
      <w:r>
        <w:t xml:space="preserve"> </w:t>
      </w:r>
      <w:r>
        <w:t xml:space="preserve">囊泡。1989年Kaler等</w:t>
      </w:r>
      <w:r>
        <w:t xml:space="preserve">发现阴阳离子表面活性剂十二烷基苯磺酸钠 (SDBS) 和十六烷基三甲基</w:t>
      </w:r>
      <w:r>
        <w:t xml:space="preserve"> </w:t>
      </w:r>
      <w:r>
        <w:t xml:space="preserve">对甲苯磺酸盐 (CTAT) 的混合体系能够形成自发囊泡，这打破了以往</w:t>
      </w:r>
      <w:r>
        <w:t xml:space="preserve">“</w:t>
      </w:r>
      <w:r>
        <w:t xml:space="preserve">阴阳离子表面活性剂因混合产生沉淀而</w:t>
      </w:r>
      <w:r>
        <w:t xml:space="preserve"> </w:t>
      </w:r>
      <w:r>
        <w:t xml:space="preserve">不能混合使用</w:t>
      </w:r>
      <w:r>
        <w:t xml:space="preserve">”</w:t>
      </w:r>
      <w:r>
        <w:t xml:space="preserve">的观念，但是Kaler的研究体系中当阴阳离子表面活性剂浓度较高、链长相近或接近等摩尔量</w:t>
      </w:r>
      <w:r>
        <w:t xml:space="preserve"> </w:t>
      </w:r>
      <w:r>
        <w:t xml:space="preserve">混合时依然产生沉淀，见图[fig:vesicle-phase]。</w:t>
      </w:r>
    </w:p>
    <w:p>
      <w:pPr>
        <w:pStyle w:val="BodyText"/>
      </w:pPr>
      <w:r>
        <w:br w:type="textWrapping"/>
      </w:r>
    </w:p>
    <w:p>
      <w:pPr>
        <w:pStyle w:val="BodyText"/>
      </w:pPr>
      <w:r>
        <w:t xml:space="preserve">一般认为，阴阳离子复配体系中囊泡相的形成是由于形成的阴/阳离子对降低可表面活性剂亲水头基的有效</w:t>
      </w:r>
      <w:r>
        <w:t xml:space="preserve"> </w:t>
      </w:r>
      <w:r>
        <w:t xml:space="preserve">截面积所导致的</w:t>
      </w:r>
      <w:r>
        <w:t xml:space="preserve">。但同时也因为阴/阳离子对的形成造成聚集体表面电荷密度下降，从而使得</w:t>
      </w:r>
      <w:r>
        <w:t xml:space="preserve"> </w:t>
      </w:r>
      <w:r>
        <w:t xml:space="preserve">在接近等摩尔量混合时体系不稳定，产生沉淀。</w:t>
      </w:r>
    </w:p>
    <w:p>
      <w:pPr>
        <w:pStyle w:val="BodyText"/>
      </w:pPr>
      <w:r>
        <w:t xml:space="preserve">除阴阳离子表面活性剂复配体系外，……</w:t>
      </w:r>
    </w:p>
    <w:p>
      <w:pPr>
        <w:pStyle w:val="Heading3"/>
      </w:pPr>
      <w:bookmarkStart w:id="43" w:name="囊泡的应用"/>
      <w:bookmarkEnd w:id="43"/>
      <w:r>
        <w:t xml:space="preserve">囊泡的应用</w:t>
      </w:r>
    </w:p>
    <w:p>
      <w:pPr>
        <w:pStyle w:val="FirstParagraph"/>
      </w:pPr>
      <w:r>
        <w:t xml:space="preserve">囊泡可因其结构独特可用于生物膜模拟、软模板或微反应器、药物装载和靶向释放以及毛细管电动色谱等</w:t>
      </w:r>
      <w:r>
        <w:t xml:space="preserve"> </w:t>
      </w:r>
      <w:r>
        <w:t xml:space="preserve">领域</w:t>
      </w:r>
      <w:r>
        <w:t xml:space="preserve">。</w:t>
      </w:r>
    </w:p>
    <w:p>
      <w:pPr>
        <w:pStyle w:val="BodyText"/>
      </w:pPr>
      <w:r>
        <w:br w:type="textWrapping"/>
      </w:r>
    </w:p>
    <w:p>
      <w:pPr>
        <w:pStyle w:val="Heading2"/>
      </w:pPr>
      <w:bookmarkStart w:id="44" w:name="立题依据和研究内容"/>
      <w:bookmarkEnd w:id="44"/>
      <w:r>
        <w:t xml:space="preserve">立题依据和研究内容</w:t>
      </w:r>
    </w:p>
    <w:p>
      <w:pPr>
        <w:pStyle w:val="Heading3"/>
      </w:pPr>
      <w:bookmarkStart w:id="45" w:name="立题依据"/>
      <w:bookmarkEnd w:id="45"/>
      <w:r>
        <w:t xml:space="preserve">立题依据</w:t>
      </w:r>
    </w:p>
    <w:p>
      <w:pPr>
        <w:pStyle w:val="FirstParagraph"/>
      </w:pPr>
      <w:r>
        <w:t xml:space="preserve">开关表面活性剂及其自组装体系的智能响应行为是目前国内外学界普遍关注的问题，</w:t>
      </w:r>
      <w:r>
        <w:t xml:space="preserve"> </w:t>
      </w:r>
      <w:r>
        <w:t xml:space="preserve">而含硒表面活性剂的氧化还原响应灵敏、条件温和，在生命领域具有重要的应用前景；</w:t>
      </w:r>
      <w:r>
        <w:t xml:space="preserve"> </w:t>
      </w:r>
      <w:r>
        <w:t xml:space="preserve">表面活性剂囊泡分子量相对较小，合成较为简单，受到外界刺激时反应较为迅速，</w:t>
      </w:r>
      <w:r>
        <w:t xml:space="preserve"> </w:t>
      </w:r>
      <w:r>
        <w:t xml:space="preserve">复配时容易自发聚集生成稳定的囊泡。结合两者的优点，考虑通过氧化还原响应来控制</w:t>
      </w:r>
      <w:r>
        <w:t xml:space="preserve"> </w:t>
      </w:r>
      <w:r>
        <w:t xml:space="preserve">含硒表面活性剂胶束和囊泡之间的转换，基于氧化还原刺激响应性囊泡在作为药物控制</w:t>
      </w:r>
      <w:r>
        <w:t xml:space="preserve"> </w:t>
      </w:r>
      <w:r>
        <w:t xml:space="preserve">递送载体、微反应器、合成中空颗粒模板等领域有着很大的期许效用。</w:t>
      </w:r>
    </w:p>
    <w:p>
      <w:pPr>
        <w:pStyle w:val="Heading3"/>
      </w:pPr>
      <w:bookmarkStart w:id="46" w:name="研究内容"/>
      <w:bookmarkEnd w:id="46"/>
      <w:r>
        <w:t xml:space="preserve">研究内容</w:t>
      </w:r>
    </w:p>
    <w:p>
      <w:pPr>
        <w:pStyle w:val="FirstParagraph"/>
      </w:pPr>
      <w:r>
        <w:t xml:space="preserve">本论文着重进行了含硒表面活性剂囊泡的构筑及其性质研究。主要研究内容如下：</w:t>
      </w:r>
    </w:p>
    <w:p>
      <w:pPr>
        <w:numPr>
          <w:numId w:val="1001"/>
          <w:ilvl w:val="0"/>
        </w:numPr>
      </w:pPr>
      <w:r>
        <w:t xml:space="preserve">合成两种含硒阴离子表面活性剂，提纯并表征确认其结构；</w:t>
      </w:r>
    </w:p>
    <w:p>
      <w:pPr>
        <w:numPr>
          <w:numId w:val="1001"/>
          <w:ilvl w:val="0"/>
        </w:numPr>
      </w:pPr>
      <w:r>
        <w:t xml:space="preserve">提纯与阴离子表面活性剂复配的阳离子表面活性剂，将阴阳离子表面活性剂</w:t>
      </w:r>
      <w:r>
        <w:t xml:space="preserve"> </w:t>
      </w:r>
      <w:r>
        <w:t xml:space="preserve">按不同摩尔比进行复配以构筑囊泡，采用动态光散射测试复配体系中的聚集体粒径；</w:t>
      </w:r>
    </w:p>
    <w:p>
      <w:pPr>
        <w:numPr>
          <w:numId w:val="1001"/>
          <w:ilvl w:val="0"/>
        </w:numPr>
      </w:pPr>
      <w:r>
        <w:t xml:space="preserve">测试复配体系耐盐效果，选定复配囊泡体系，测试囊泡粒径随时间的变化关系，</w:t>
      </w:r>
      <w:r>
        <w:t xml:space="preserve"> </w:t>
      </w:r>
      <w:r>
        <w:t xml:space="preserve">考察囊泡的稳定性；</w:t>
      </w:r>
    </w:p>
    <w:p>
      <w:pPr>
        <w:numPr>
          <w:numId w:val="1001"/>
          <w:ilvl w:val="0"/>
        </w:numPr>
      </w:pPr>
      <w:r>
        <w:t xml:space="preserve">配置不同浓度的表面活性剂复配体系，测试其中囊泡的粒径变化关系；</w:t>
      </w:r>
    </w:p>
    <w:p>
      <w:pPr>
        <w:numPr>
          <w:numId w:val="1001"/>
          <w:ilvl w:val="0"/>
        </w:numPr>
      </w:pPr>
      <w:r>
        <w:t xml:space="preserve">对囊泡体系进行氧化还原测试，考察其氧化还原响应性，包含氧化、还原所需</w:t>
      </w:r>
      <w:r>
        <w:t xml:space="preserve"> </w:t>
      </w:r>
      <w:r>
        <w:t xml:space="preserve">时间；对还原后的体系进行粒径测试，探究与初试状态的变化；进行多次氧化还原</w:t>
      </w:r>
      <w:r>
        <w:t xml:space="preserve"> </w:t>
      </w:r>
      <w:r>
        <w:t xml:space="preserve">循环，考察体系的刺激响应耐受性；</w:t>
      </w:r>
    </w:p>
    <w:p>
      <w:pPr>
        <w:numPr>
          <w:numId w:val="1001"/>
          <w:ilvl w:val="0"/>
        </w:numPr>
      </w:pPr>
      <w:r>
        <w:t xml:space="preserve">对两种含硒表面活性剂的复配囊泡体系的性质进行对比。</w:t>
      </w:r>
    </w:p>
    <w:p>
      <w:pPr>
        <w:pStyle w:val="Heading1"/>
      </w:pPr>
      <w:bookmarkStart w:id="47" w:name="chapter:experiment"/>
      <w:bookmarkEnd w:id="47"/>
      <w:r>
        <w:t xml:space="preserve">实验部分</w:t>
      </w:r>
    </w:p>
    <w:p>
      <w:pPr>
        <w:pStyle w:val="Heading2"/>
      </w:pPr>
      <w:bookmarkStart w:id="48" w:name="实验仪器与试剂"/>
      <w:bookmarkEnd w:id="48"/>
      <w:r>
        <w:t xml:space="preserve">实验仪器与试剂</w:t>
      </w:r>
    </w:p>
    <w:p>
      <w:pPr>
        <w:pStyle w:val="TableCaption"/>
      </w:pPr>
      <w:r>
        <w:t xml:space="preserve">实验仪器与试剂</w:t>
      </w:r>
    </w:p>
    <w:tbl>
      <w:tblPr>
        <w:tblStyle w:val="TableNormal"/>
        <w:tblW w:type="pct" w:w="0.0"/>
        <w:tblLook w:firstRow="1"/>
        <w:tblCaption w:val="实验仪器与试剂"/>
      </w:tblPr>
      <w:tblGrid/>
      <w:tr>
        <w:trPr>
          <w:cnfStyle w:firstRow="1"/>
        </w:trPr>
        <w:tc>
          <w:tcPr>
            <w:tcBorders>
              <w:bottom w:val="single"/>
            </w:tcBorders>
            <w:vAlign w:val="bottom"/>
          </w:tcPr>
          <w:p>
            <w:pPr>
              <w:pStyle w:val="Compact"/>
              <w:jc w:val="center"/>
            </w:pPr>
            <w:r>
              <w:rPr>
                <w:b/>
              </w:rPr>
              <w:t xml:space="preserve">仪器/试剂</w:t>
            </w:r>
          </w:p>
        </w:tc>
        <w:tc>
          <w:tcPr>
            <w:tcBorders>
              <w:bottom w:val="single"/>
            </w:tcBorders>
            <w:vAlign w:val="bottom"/>
          </w:tcPr>
          <w:p>
            <w:pPr>
              <w:pStyle w:val="Compact"/>
              <w:jc w:val="center"/>
            </w:pPr>
            <w:r>
              <w:rPr>
                <w:b/>
              </w:rPr>
              <w:t xml:space="preserve">规格/型号</w:t>
            </w:r>
          </w:p>
        </w:tc>
        <w:tc>
          <w:tcPr>
            <w:tcBorders>
              <w:bottom w:val="single"/>
            </w:tcBorders>
            <w:vAlign w:val="bottom"/>
          </w:tcPr>
          <w:p>
            <w:pPr>
              <w:pStyle w:val="Compact"/>
              <w:jc w:val="center"/>
            </w:pPr>
            <w:r>
              <w:rPr>
                <w:b/>
              </w:rPr>
              <w:t xml:space="preserve">生产厂家</w:t>
            </w:r>
          </w:p>
        </w:tc>
      </w:tr>
      <w:tr>
        <w:tc>
          <w:p>
            <w:pPr>
              <w:pStyle w:val="Compact"/>
              <w:jc w:val="center"/>
            </w:pPr>
            <w:r>
              <w:t xml:space="preserve">硒</w:t>
            </w:r>
          </w:p>
        </w:tc>
        <w:tc>
          <w:p>
            <w:pPr>
              <w:pStyle w:val="Compact"/>
              <w:jc w:val="center"/>
            </w:pPr>
            <w:r>
              <w:t xml:space="preserve">GR</w:t>
            </w:r>
          </w:p>
        </w:tc>
        <w:tc>
          <w:p>
            <w:pPr>
              <w:pStyle w:val="Compact"/>
              <w:jc w:val="center"/>
            </w:pPr>
            <w:r>
              <w:t xml:space="preserve">阿达玛斯试剂</w:t>
            </w:r>
          </w:p>
        </w:tc>
      </w:tr>
      <w:tr>
        <w:tc>
          <w:p>
            <w:pPr>
              <w:pStyle w:val="Compact"/>
              <w:jc w:val="center"/>
            </w:pPr>
            <w:r>
              <w:t xml:space="preserve">硼氢化钠</w:t>
            </w:r>
          </w:p>
        </w:tc>
        <w:tc>
          <w:p>
            <w:pPr>
              <w:pStyle w:val="Compact"/>
              <w:jc w:val="center"/>
            </w:pPr>
            <w:r>
              <w:t xml:space="preserve">AR</w:t>
            </w:r>
          </w:p>
        </w:tc>
        <w:tc>
          <w:p>
            <w:pPr>
              <w:pStyle w:val="Compact"/>
              <w:jc w:val="center"/>
            </w:pPr>
            <w:r>
              <w:t xml:space="preserve">上海化学试剂有限公司</w:t>
            </w:r>
          </w:p>
        </w:tc>
      </w:tr>
      <w:tr>
        <w:tc>
          <w:p>
            <w:pPr>
              <w:pStyle w:val="Compact"/>
              <w:jc w:val="center"/>
            </w:pPr>
            <w:r>
              <w:t xml:space="preserve">1-溴代十二烷</w:t>
            </w:r>
            <w:r>
              <w:t xml:space="preserve"> </w:t>
            </w:r>
            <w:r>
              <w:t xml:space="preserve">1-溴代丁烷</w:t>
            </w:r>
          </w:p>
        </w:tc>
        <w:tc>
          <w:p>
            <w:pPr>
              <w:pStyle w:val="Compact"/>
              <w:jc w:val="center"/>
            </w:pPr>
            <w:r>
              <w:t xml:space="preserve">CP</w:t>
            </w:r>
          </w:p>
        </w:tc>
        <w:tc>
          <w:p>
            <w:pPr>
              <w:pStyle w:val="Compact"/>
              <w:jc w:val="center"/>
            </w:pPr>
            <w:r>
              <w:t xml:space="preserve">国药集团化学试剂有限公司</w:t>
            </w:r>
          </w:p>
        </w:tc>
      </w:tr>
      <w:tr>
        <w:tc>
          <w:p>
            <w:pPr>
              <w:pStyle w:val="Compact"/>
              <w:jc w:val="center"/>
            </w:pPr>
            <w:r>
              <w:t xml:space="preserve">3-溴丙醇</w:t>
            </w:r>
          </w:p>
        </w:tc>
        <w:tc>
          <w:p>
            <w:pPr>
              <w:pStyle w:val="Compact"/>
              <w:jc w:val="center"/>
            </w:pPr>
            <w:r>
              <w:t xml:space="preserve">GR</w:t>
            </w:r>
          </w:p>
        </w:tc>
        <w:tc>
          <w:p>
            <w:pPr>
              <w:pStyle w:val="Compact"/>
              <w:jc w:val="center"/>
            </w:pPr>
            <w:r>
              <w:t xml:space="preserve">阿达玛斯试剂</w:t>
            </w:r>
          </w:p>
        </w:tc>
      </w:tr>
      <w:tr>
        <w:tc>
          <w:p>
            <w:pPr>
              <w:pStyle w:val="Compact"/>
              <w:jc w:val="center"/>
            </w:pPr>
            <w:r>
              <w:t xml:space="preserve">11-溴-1-十一醇</w:t>
            </w:r>
          </w:p>
        </w:tc>
        <w:tc>
          <w:p>
            <w:pPr>
              <w:pStyle w:val="Compact"/>
              <w:jc w:val="center"/>
            </w:pPr>
            <w:r>
              <w:t xml:space="preserve">GR</w:t>
            </w:r>
          </w:p>
        </w:tc>
        <w:tc>
          <w:p>
            <w:pPr>
              <w:pStyle w:val="Compact"/>
              <w:jc w:val="center"/>
            </w:pPr>
            <w:r>
              <w:t xml:space="preserve">国药集团化学试剂有限公司</w:t>
            </w:r>
          </w:p>
        </w:tc>
      </w:tr>
      <w:tr>
        <w:tc>
          <w:p>
            <w:pPr>
              <w:pStyle w:val="Compact"/>
              <w:jc w:val="center"/>
            </w:pPr>
            <w:r>
              <w:t xml:space="preserve">氯磺酸</w:t>
            </w:r>
          </w:p>
        </w:tc>
        <w:tc>
          <w:p>
            <w:pPr>
              <w:pStyle w:val="Compact"/>
              <w:jc w:val="center"/>
            </w:pPr>
            <w:r>
              <w:t xml:space="preserve">CP</w:t>
            </w:r>
          </w:p>
        </w:tc>
        <w:tc>
          <w:p>
            <w:pPr>
              <w:pStyle w:val="Compact"/>
              <w:jc w:val="center"/>
            </w:pPr>
            <w:r>
              <w:t xml:space="preserve">上海化学试剂有限公司</w:t>
            </w:r>
          </w:p>
        </w:tc>
      </w:tr>
      <w:tr>
        <w:tc>
          <w:p>
            <w:pPr>
              <w:pStyle w:val="Compact"/>
              <w:jc w:val="center"/>
            </w:pPr>
            <w:r>
              <w:t xml:space="preserve">碳酸钠</w:t>
            </w:r>
          </w:p>
        </w:tc>
        <w:tc>
          <w:p>
            <w:pPr>
              <w:pStyle w:val="Compact"/>
              <w:jc w:val="center"/>
            </w:pPr>
            <w:r>
              <w:t xml:space="preserve">AR</w:t>
            </w:r>
          </w:p>
        </w:tc>
        <w:tc>
          <w:p>
            <w:pPr>
              <w:pStyle w:val="Compact"/>
              <w:jc w:val="center"/>
            </w:pPr>
            <w:r>
              <w:t xml:space="preserve">国药集团化学试剂有限公司</w:t>
            </w:r>
          </w:p>
        </w:tc>
      </w:tr>
      <w:tr>
        <w:tc>
          <w:p>
            <w:pPr>
              <w:pStyle w:val="Compact"/>
              <w:jc w:val="center"/>
            </w:pPr>
            <w:r>
              <w:t xml:space="preserve">十二烷基三甲基溴化铵</w:t>
            </w:r>
          </w:p>
        </w:tc>
        <w:tc>
          <w:p>
            <w:pPr>
              <w:pStyle w:val="Compact"/>
              <w:jc w:val="center"/>
            </w:pPr>
            <w:r>
              <w:t xml:space="preserve">CP</w:t>
            </w:r>
          </w:p>
        </w:tc>
        <w:tc>
          <w:p>
            <w:pPr>
              <w:pStyle w:val="Compact"/>
              <w:jc w:val="center"/>
            </w:pPr>
            <w:r>
              <w:t xml:space="preserve">国药集团化学试剂有限公司</w:t>
            </w:r>
          </w:p>
        </w:tc>
      </w:tr>
      <w:tr>
        <w:tc>
          <w:p>
            <w:pPr>
              <w:pStyle w:val="Compact"/>
              <w:jc w:val="center"/>
            </w:pPr>
            <w:r>
              <w:t xml:space="preserve">30%过氧化氢</w:t>
            </w:r>
          </w:p>
        </w:tc>
        <w:tc>
          <w:p>
            <w:pPr>
              <w:pStyle w:val="Compact"/>
              <w:jc w:val="center"/>
            </w:pPr>
            <w:r>
              <w:t xml:space="preserve">AR</w:t>
            </w:r>
          </w:p>
        </w:tc>
        <w:tc>
          <w:p>
            <w:pPr>
              <w:pStyle w:val="Compact"/>
              <w:jc w:val="center"/>
            </w:pPr>
            <w:r>
              <w:t xml:space="preserve">上海化学试剂有限公司</w:t>
            </w:r>
          </w:p>
        </w:tc>
      </w:tr>
      <w:tr>
        <w:tc>
          <w:p>
            <w:pPr>
              <w:pStyle w:val="Compact"/>
              <w:jc w:val="center"/>
            </w:pPr>
            <w:r>
              <w:t xml:space="preserve">亚硫酸钠</w:t>
            </w:r>
          </w:p>
        </w:tc>
        <w:tc>
          <w:p>
            <w:pPr>
              <w:pStyle w:val="Compact"/>
              <w:jc w:val="center"/>
            </w:pPr>
            <w:r>
              <w:t xml:space="preserve">AR</w:t>
            </w:r>
          </w:p>
        </w:tc>
        <w:tc>
          <w:p>
            <w:pPr>
              <w:pStyle w:val="Compact"/>
              <w:jc w:val="center"/>
            </w:pPr>
            <w:r>
              <w:t xml:space="preserve">国药集团化学试剂有限公司</w:t>
            </w:r>
          </w:p>
        </w:tc>
      </w:tr>
      <w:tr>
        <w:tc>
          <w:p>
            <w:pPr>
              <w:pStyle w:val="Compact"/>
              <w:jc w:val="center"/>
            </w:pPr>
            <w:r>
              <w:t xml:space="preserve">硫酸钠</w:t>
            </w:r>
          </w:p>
        </w:tc>
        <w:tc>
          <w:p>
            <w:pPr>
              <w:pStyle w:val="Compact"/>
              <w:jc w:val="center"/>
            </w:pPr>
            <w:r>
              <w:t xml:space="preserve">AR</w:t>
            </w:r>
          </w:p>
        </w:tc>
        <w:tc>
          <w:p>
            <w:pPr>
              <w:pStyle w:val="Compact"/>
              <w:jc w:val="center"/>
            </w:pPr>
            <w:r>
              <w:t xml:space="preserve">国药集团化学试剂有限公司</w:t>
            </w:r>
          </w:p>
        </w:tc>
      </w:tr>
      <w:tr>
        <w:tc>
          <w:p>
            <w:pPr>
              <w:pStyle w:val="Compact"/>
              <w:jc w:val="center"/>
            </w:pPr>
            <w:r>
              <w:t xml:space="preserve">超纯水</w:t>
            </w:r>
          </w:p>
        </w:tc>
        <w:tc>
          <w:p>
            <w:pPr>
              <w:pStyle w:val="Compact"/>
              <w:jc w:val="center"/>
            </w:pPr>
            <w:r>
              <w:t xml:space="preserve">Simplicity UV</w:t>
            </w:r>
          </w:p>
        </w:tc>
        <w:tc>
          <w:p>
            <w:pPr>
              <w:pStyle w:val="Compact"/>
              <w:jc w:val="center"/>
            </w:pPr>
            <w:r>
              <w:t xml:space="preserve">美国Merck Millipore</w:t>
            </w:r>
          </w:p>
        </w:tc>
      </w:tr>
      <w:tr>
        <w:tc>
          <w:p>
            <w:pPr>
              <w:pStyle w:val="Compact"/>
              <w:jc w:val="center"/>
            </w:pPr>
            <w:r>
              <w:t xml:space="preserve">电子分析天平</w:t>
            </w:r>
          </w:p>
        </w:tc>
        <w:tc>
          <w:p>
            <w:pPr>
              <w:pStyle w:val="Compact"/>
              <w:jc w:val="center"/>
            </w:pPr>
            <w:r>
              <w:t xml:space="preserve">JY2015</w:t>
            </w:r>
          </w:p>
        </w:tc>
        <w:tc>
          <w:p>
            <w:pPr>
              <w:pStyle w:val="Compact"/>
              <w:jc w:val="center"/>
            </w:pPr>
            <w:r>
              <w:t xml:space="preserve">梅特勒-托利多有限公司</w:t>
            </w:r>
          </w:p>
        </w:tc>
      </w:tr>
      <w:tr>
        <w:tc>
          <w:p>
            <w:pPr>
              <w:pStyle w:val="Compact"/>
              <w:jc w:val="center"/>
            </w:pPr>
            <w:r>
              <w:t xml:space="preserve">旋转蒸发器</w:t>
            </w:r>
          </w:p>
        </w:tc>
        <w:tc>
          <w:p>
            <w:pPr>
              <w:pStyle w:val="Compact"/>
              <w:jc w:val="center"/>
            </w:pPr>
            <w:r>
              <w:t xml:space="preserve">RE-2000B</w:t>
            </w:r>
          </w:p>
        </w:tc>
        <w:tc>
          <w:p>
            <w:pPr>
              <w:pStyle w:val="Compact"/>
              <w:jc w:val="center"/>
            </w:pPr>
            <w:r>
              <w:t xml:space="preserve">上海亚荣生化仪器厂</w:t>
            </w:r>
          </w:p>
        </w:tc>
      </w:tr>
      <w:tr>
        <w:tc>
          <w:p>
            <w:pPr>
              <w:pStyle w:val="Compact"/>
              <w:jc w:val="center"/>
            </w:pPr>
            <w:r>
              <w:t xml:space="preserve">超声波清洗器</w:t>
            </w:r>
          </w:p>
        </w:tc>
        <w:tc>
          <w:p>
            <w:pPr>
              <w:pStyle w:val="Compact"/>
              <w:jc w:val="center"/>
            </w:pPr>
            <w:r>
              <w:t xml:space="preserve">KQ-100B</w:t>
            </w:r>
          </w:p>
        </w:tc>
        <w:tc>
          <w:p>
            <w:pPr>
              <w:pStyle w:val="Compact"/>
              <w:jc w:val="center"/>
            </w:pPr>
            <w:r>
              <w:t xml:space="preserve">昆山市超声仪器有限公司</w:t>
            </w:r>
          </w:p>
        </w:tc>
      </w:tr>
      <w:tr>
        <w:tc>
          <w:p>
            <w:pPr>
              <w:pStyle w:val="Compact"/>
              <w:jc w:val="center"/>
            </w:pPr>
            <w:r>
              <w:t xml:space="preserve">超级恒温水浴</w:t>
            </w:r>
          </w:p>
        </w:tc>
        <w:tc>
          <w:p>
            <w:pPr>
              <w:pStyle w:val="Compact"/>
              <w:jc w:val="center"/>
            </w:pPr>
            <w:r>
              <w:t xml:space="preserve">??</w:t>
            </w:r>
          </w:p>
        </w:tc>
        <w:tc>
          <w:p>
            <w:pPr>
              <w:pStyle w:val="Compact"/>
              <w:jc w:val="center"/>
            </w:pPr>
            <w:r>
              <w:t xml:space="preserve">有限公司</w:t>
            </w:r>
          </w:p>
        </w:tc>
      </w:tr>
      <w:tr>
        <w:tc>
          <w:p>
            <w:pPr>
              <w:pStyle w:val="Compact"/>
              <w:jc w:val="center"/>
            </w:pPr>
            <w:r>
              <w:t xml:space="preserve">核磁共振谱仪</w:t>
            </w:r>
          </w:p>
        </w:tc>
        <w:tc>
          <w:p>
            <w:pPr>
              <w:pStyle w:val="Compact"/>
              <w:jc w:val="center"/>
            </w:pPr>
            <w:r>
              <w:t xml:space="preserve">AVANCE Ⅲ HD 400MHz</w:t>
            </w:r>
          </w:p>
        </w:tc>
        <w:tc>
          <w:p>
            <w:pPr>
              <w:pStyle w:val="Compact"/>
              <w:jc w:val="center"/>
            </w:pPr>
            <w:r>
              <w:t xml:space="preserve">瑞士布鲁克公司</w:t>
            </w:r>
          </w:p>
        </w:tc>
      </w:tr>
      <w:tr>
        <w:tc>
          <w:p>
            <w:pPr>
              <w:pStyle w:val="Compact"/>
              <w:jc w:val="center"/>
            </w:pPr>
            <w:r>
              <w:t xml:space="preserve">液相色谱质谱联用仪</w:t>
            </w:r>
          </w:p>
        </w:tc>
        <w:tc>
          <w:p>
            <w:pPr>
              <w:pStyle w:val="Compact"/>
              <w:jc w:val="center"/>
            </w:pPr>
            <w:r>
              <w:t xml:space="preserve">LCZ/2690 XE/996</w:t>
            </w:r>
          </w:p>
        </w:tc>
        <w:tc>
          <w:p>
            <w:pPr>
              <w:pStyle w:val="Compact"/>
              <w:jc w:val="center"/>
            </w:pPr>
            <w:r>
              <w:t xml:space="preserve">美国沃特世公司</w:t>
            </w:r>
          </w:p>
        </w:tc>
      </w:tr>
      <w:tr>
        <w:tc>
          <w:p>
            <w:pPr>
              <w:pStyle w:val="Compact"/>
              <w:jc w:val="center"/>
            </w:pPr>
            <w:r>
              <w:t xml:space="preserve">激光光散射仪</w:t>
            </w:r>
          </w:p>
        </w:tc>
        <w:tc>
          <w:p>
            <w:pPr>
              <w:pStyle w:val="Compact"/>
              <w:jc w:val="center"/>
            </w:pPr>
            <w:r>
              <w:t xml:space="preserve">ALV/DLS/SLS-5022F</w:t>
            </w:r>
          </w:p>
        </w:tc>
        <w:tc>
          <w:p>
            <w:pPr>
              <w:pStyle w:val="Compact"/>
              <w:jc w:val="center"/>
            </w:pPr>
            <w:r>
              <w:t xml:space="preserve">德国ALV公司</w:t>
            </w:r>
          </w:p>
        </w:tc>
      </w:tr>
    </w:tbl>
    <w:p>
      <w:pPr>
        <w:pStyle w:val="Heading2"/>
      </w:pPr>
      <w:bookmarkStart w:id="49" w:name="含硒表面活性剂的制备"/>
      <w:bookmarkEnd w:id="49"/>
      <w:r>
        <w:t xml:space="preserve">含硒表面活性剂的制备</w:t>
      </w:r>
    </w:p>
    <w:p>
      <w:pPr>
        <w:pStyle w:val="Heading3"/>
      </w:pPr>
      <w:bookmarkStart w:id="50" w:name="合成路线"/>
      <w:bookmarkEnd w:id="50"/>
      <w:r>
        <w:t xml:space="preserve">合成路线</w:t>
      </w:r>
    </w:p>
    <w:p>
      <w:pPr>
        <w:pStyle w:val="FirstParagraph"/>
      </w:pPr>
      <w:r>
        <w:t xml:space="preserve">按图[fig:synthesis-scheme]所示合成路线制备两种含硒表面活性剂3-十二烷基硒-1-丙基硫酸钠</w:t>
      </w:r>
      <w:r>
        <w:t xml:space="preserve"> </w:t>
      </w:r>
      <w:r>
        <w:t xml:space="preserve">(SDSePS) 和11-丁基硒-1-十一烷基硫酸钠 (SBSeUS)。</w:t>
      </w:r>
    </w:p>
    <w:p>
      <w:pPr>
        <w:pStyle w:val="BodyText"/>
      </w:pPr>
      <w:r>
        <w:drawing>
          <wp:inline>
            <wp:extent cx="3810000" cy="2540000"/>
            <wp:effectExtent b="0" l="0" r="0" t="0"/>
            <wp:docPr descr="含硒表面活性剂的合成路线" title="fig:" id="1" name="Picture"/>
            <a:graphic>
              <a:graphicData uri="http://schemas.openxmlformats.org/drawingml/2006/picture">
                <pic:pic>
                  <pic:nvPicPr>
                    <pic:cNvPr descr="figure/synthesis-scheme.pdf" id="0" name="Picture"/>
                    <pic:cNvPicPr>
                      <a:picLocks noChangeArrowheads="1" noChangeAspect="1"/>
                    </pic:cNvPicPr>
                  </pic:nvPicPr>
                  <pic:blipFill>
                    <a:blip r:embed="rId51"/>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Heading3"/>
      </w:pPr>
      <w:bookmarkStart w:id="52" w:name="实验方法"/>
      <w:bookmarkEnd w:id="52"/>
      <w:r>
        <w:t xml:space="preserve">实验方法</w:t>
      </w:r>
    </w:p>
    <w:p>
      <w:pPr>
        <w:pStyle w:val="FirstParagraph"/>
      </w:pPr>
      <w:r>
        <w:t xml:space="preserve">称取 9.28 g (0.12 mol) 硒粉置于 500 mL 三口圆底烧瓶中，加入 75 mL 去离子水后在室温下</w:t>
      </w:r>
      <w:r>
        <w:t xml:space="preserve"> </w:t>
      </w:r>
      <w:r>
        <w:t xml:space="preserve">搅拌 10 min；在冰浴条件下，缓慢滴加 75 mL 去离子水溶解的 9.73 g (0.25 mol) ，过程</w:t>
      </w:r>
      <w:r>
        <w:t xml:space="preserve"> </w:t>
      </w:r>
      <w:r>
        <w:t xml:space="preserve">中 保护，反应体系逐渐变白，滴完后得到白色的悬浊液，在室温下反应 20 min；再次称取</w:t>
      </w:r>
      <w:r>
        <w:t xml:space="preserve"> </w:t>
      </w:r>
      <w:r>
        <w:t xml:space="preserve">9.28 g (0.12 mol) 硒粉加入，室温反应 15 min 后逐步升温至 70 ℃，反应 20 min，此时体系为呈</w:t>
      </w:r>
      <w:r>
        <w:t xml:space="preserve"> </w:t>
      </w:r>
      <w:r>
        <w:t xml:space="preserve">现棕红色；冷却至室温后滴加 280 mL 四氢呋喃(THF)溶解的 58.62 g (0.26 mol) ，50 ℃</w:t>
      </w:r>
      <w:r>
        <w:t xml:space="preserve"> </w:t>
      </w:r>
      <w:r>
        <w:t xml:space="preserve">下反应 18 h，停止反应，体系为两相，上层有机相为黄色。</w:t>
      </w:r>
    </w:p>
    <w:p>
      <w:pPr>
        <w:pStyle w:val="BodyText"/>
      </w:pPr>
      <w:r>
        <w:t xml:space="preserve">停止反应后处理，二氯甲烷()萃取分液，无水硫酸钠干燥后减压抽滤，减压旋干</w:t>
      </w:r>
      <w:r>
        <w:t xml:space="preserve"> </w:t>
      </w:r>
      <w:r>
        <w:t xml:space="preserve">溶剂，用乙酸乙酯热溶，低温重结晶三次后，真空干燥 12 h，得 40.82 g 黄色针状产物 DDSe，</w:t>
      </w:r>
      <w:r>
        <w:t xml:space="preserve"> </w:t>
      </w:r>
      <w:r>
        <w:t xml:space="preserve">得率 71.60%。</w:t>
      </w:r>
    </w:p>
    <w:p>
      <w:pPr>
        <w:pStyle w:val="BodyText"/>
      </w:pPr>
      <w:r>
        <w:t xml:space="preserve">称取 20 g (0.14 mol) 置于 500 mL 四口圆底烧瓶中，加入 150 mL 干燥后的</w:t>
      </w:r>
      <w:r>
        <w:t xml:space="preserve"> </w:t>
      </w:r>
      <w:r>
        <w:t xml:space="preserve">，冰浴下机械搅拌 10 min，缓慢滴加 19.5 g (0.17 mol)氯磺酸()，滴完后室温反</w:t>
      </w:r>
      <w:r>
        <w:t xml:space="preserve"> </w:t>
      </w:r>
      <w:r>
        <w:t xml:space="preserve">应 30 min，再用饱和碳酸钠水溶液中和，保持体系 pH 为 8 到 9。</w:t>
      </w:r>
      <w:r>
        <w:t xml:space="preserve"> </w:t>
      </w:r>
      <w:r>
        <w:t xml:space="preserve">停止反应后处理，减压旋干溶剂，热乙醇除盐，乙醇重结晶三次，真空干燥 12 h，得到</w:t>
      </w:r>
      <w:r>
        <w:t xml:space="preserve"> </w:t>
      </w:r>
      <w:r>
        <w:t xml:space="preserve">24.04 g 白色产物 BAS，得率 71.25%。</w:t>
      </w:r>
    </w:p>
    <w:p>
      <w:pPr>
        <w:pStyle w:val="BodyText"/>
      </w:pPr>
      <w:r>
        <w:t xml:space="preserve">称取 15 g (0.03 mol) DDSe 置于 500 mL 三口圆底烧瓶中，加入 150 mL THF 充分搅拌，</w:t>
      </w:r>
      <w:r>
        <w:t xml:space="preserve"> </w:t>
      </w:r>
      <w:r>
        <w:t xml:space="preserve">全程 保护，冰浴下缓慢滴加 100 mL 去离子水溶解的 5.67 g (0.15 mol) ，过程中体系</w:t>
      </w:r>
      <w:r>
        <w:t xml:space="preserve"> </w:t>
      </w:r>
      <w:r>
        <w:t xml:space="preserve">逐渐变白，滴完室温反应 20 min，再滴加 100 mL 去离子水溶解的 16 g (0.66 mol) BAS，室温</w:t>
      </w:r>
      <w:r>
        <w:t xml:space="preserve"> </w:t>
      </w:r>
      <w:r>
        <w:t xml:space="preserve">反应 24 h，此时体系仍为白色。</w:t>
      </w:r>
    </w:p>
    <w:p>
      <w:pPr>
        <w:pStyle w:val="BodyText"/>
      </w:pPr>
      <w:r>
        <w:t xml:space="preserve">停止反应后处理，减压除去溶剂，热乙醇除盐，以乙酸乙酯:甲醇 = 5:1 为洗脱剂柱色谱</w:t>
      </w:r>
      <w:r>
        <w:t xml:space="preserve"> </w:t>
      </w:r>
      <w:r>
        <w:t xml:space="preserve">分离，后乙醇重结晶，得 18.6 g 产物，得率 75.80%。</w:t>
      </w:r>
    </w:p>
    <w:p>
      <w:pPr>
        <w:pStyle w:val="BodyText"/>
      </w:pPr>
      <w:r>
        <w:t xml:space="preserve">SBSeUS</w:t>
      </w:r>
    </w:p>
    <w:p>
      <w:pPr>
        <w:pStyle w:val="Heading3"/>
      </w:pPr>
      <w:bookmarkStart w:id="53" w:name="表征方法"/>
      <w:bookmarkEnd w:id="53"/>
      <w:r>
        <w:t xml:space="preserve">表征方法</w:t>
      </w:r>
    </w:p>
    <w:p>
      <w:pPr>
        <w:pStyle w:val="FirstParagraph"/>
      </w:pPr>
      <w:r>
        <w:t xml:space="preserve">对所制备的含硒阴离子表面活性剂进行核磁氢谱和质谱测试，确认所得结构。</w:t>
      </w:r>
    </w:p>
    <w:p>
      <w:pPr>
        <w:pStyle w:val="Heading2"/>
      </w:pPr>
      <w:bookmarkStart w:id="54" w:name="复配囊泡的构筑"/>
      <w:bookmarkEnd w:id="54"/>
      <w:r>
        <w:t xml:space="preserve">复配囊泡的构筑</w:t>
      </w:r>
    </w:p>
    <w:p>
      <w:pPr>
        <w:pStyle w:val="Heading3"/>
      </w:pPr>
      <w:bookmarkStart w:id="55" w:name="dtab的纯化"/>
      <w:bookmarkEnd w:id="55"/>
      <w:r>
        <w:t xml:space="preserve">(1) DTAB的纯化</w:t>
      </w:r>
    </w:p>
    <w:p>
      <w:pPr>
        <w:pStyle w:val="FirstParagraph"/>
      </w:pPr>
      <w:r>
        <w:t xml:space="preserve">以无水乙醇和乙酸乙酯作为溶剂，在50 ℃下对十二烷基三甲基溴化铵 (DTAB) 进行重结晶提纯，提纯两次，</w:t>
      </w:r>
      <w:r>
        <w:t xml:space="preserve"> </w:t>
      </w:r>
      <w:r>
        <w:t xml:space="preserve">真空干燥后，密封保存。</w:t>
      </w:r>
    </w:p>
    <w:p>
      <w:pPr>
        <w:pStyle w:val="Heading3"/>
      </w:pPr>
      <w:bookmarkStart w:id="56" w:name="阴阳离子表面活性剂复配"/>
      <w:bookmarkEnd w:id="56"/>
      <w:r>
        <w:t xml:space="preserve">(2) 阴阳离子表面活性剂复配</w:t>
      </w:r>
    </w:p>
    <w:p>
      <w:pPr>
        <w:pStyle w:val="FirstParagraph"/>
      </w:pPr>
      <w:r>
        <w:t xml:space="preserve">使用实验室自制超纯水分别配置一定体积的5 mmol/L和10 mmol/L的阳离子表面活性剂DTAB水溶液，</w:t>
      </w:r>
      <w:r>
        <w:t xml:space="preserve"> </w:t>
      </w:r>
      <w:r>
        <w:t xml:space="preserve">同样方法配置两种浓度的含硒阴离子表面活性剂SDSePS和SBSeUS水溶液，然后使用 0.22</w:t>
      </w:r>
      <w:r>
        <w:t xml:space="preserve"> </w:t>
      </w:r>
      <m:oMath>
        <m:r>
          <m:t>μ</m:t>
        </m:r>
      </m:oMath>
      <w:r>
        <w:t xml:space="preserve">m 的水系滤膜</w:t>
      </w:r>
      <w:r>
        <w:t xml:space="preserve"> </w:t>
      </w:r>
      <w:r>
        <w:t xml:space="preserve">过滤上述溶液作为母液备用。</w:t>
      </w:r>
    </w:p>
    <w:p>
      <w:pPr>
        <w:pStyle w:val="BodyText"/>
      </w:pPr>
      <w:r>
        <w:t xml:space="preserve">将阴离子和阳离子以不同摩尔比 (1:9、2:8、3:7、4:6、5:5、6:4、7:3、8:2、9:1)进行复配，即使用上述母液</w:t>
      </w:r>
      <w:r>
        <w:t xml:space="preserve"> </w:t>
      </w:r>
      <w:r>
        <w:t xml:space="preserve">按体积比快速混合，超声振荡后，置于30 ℃水浴中恒温12 h后进行后续测试。</w:t>
      </w:r>
    </w:p>
    <w:p>
      <w:pPr>
        <w:pStyle w:val="Heading2"/>
      </w:pPr>
      <w:bookmarkStart w:id="57" w:name="囊泡的性质研究"/>
      <w:bookmarkEnd w:id="57"/>
      <w:r>
        <w:t xml:space="preserve">囊泡的性质研究</w:t>
      </w:r>
    </w:p>
    <w:p>
      <w:pPr>
        <w:pStyle w:val="Heading3"/>
      </w:pPr>
      <w:bookmarkStart w:id="58" w:name="不同摩尔比"/>
      <w:bookmarkEnd w:id="58"/>
      <w:r>
        <w:t xml:space="preserve">不同摩尔比</w:t>
      </w:r>
    </w:p>
    <w:p>
      <w:pPr>
        <w:pStyle w:val="FirstParagraph"/>
      </w:pPr>
      <w:r>
        <w:t xml:space="preserve">利用母液按摩尔比1:9至9:1配置不同摩尔比的囊泡体系，观察外观现象变化</w:t>
      </w:r>
    </w:p>
    <w:p>
      <w:pPr>
        <w:pStyle w:val="Heading3"/>
      </w:pPr>
      <w:bookmarkStart w:id="59" w:name="稳定性"/>
      <w:bookmarkEnd w:id="59"/>
      <w:r>
        <w:t xml:space="preserve">稳定性</w:t>
      </w:r>
    </w:p>
    <w:p>
      <w:pPr>
        <w:pStyle w:val="FirstParagraph"/>
      </w:pPr>
      <w:r>
        <w:t xml:space="preserve">利用DLS测试囊泡粒径，其随时间的变化，另一方面加入测试囊泡的耐盐状况，该囊泡体系伪含盐(NaBr)囊泡体系，</w:t>
      </w:r>
      <w:r>
        <w:t xml:space="preserve"> </w:t>
      </w:r>
      <w:r>
        <w:t xml:space="preserve">选择的原因是之后氧化还原</w:t>
      </w:r>
    </w:p>
    <w:p>
      <w:pPr>
        <w:pStyle w:val="Heading3"/>
      </w:pPr>
      <w:bookmarkStart w:id="60" w:name="不同浓度"/>
      <w:bookmarkEnd w:id="60"/>
      <w:r>
        <w:t xml:space="preserve">不同浓度</w:t>
      </w:r>
    </w:p>
    <w:p>
      <w:pPr>
        <w:pStyle w:val="FirstParagraph"/>
      </w:pPr>
      <w:r>
        <w:t xml:space="preserve">使用母液稀释得到0.5 mmol/L、1 mmol/L、2 mmol/L、2.5 mmol/L、5 mmol/L、10 mmol/L的阴阳离子表面活性剂溶液，分别按</w:t>
      </w:r>
      <w:r>
        <w:t xml:space="preserve"> </w:t>
      </w:r>
      <w:r>
        <w:t xml:space="preserve">上步选定的摩尔比配置不同浓度的囊泡体系，静置12 h，记录外观，利用DLS测试粒径</w:t>
      </w:r>
    </w:p>
    <w:p>
      <w:pPr>
        <w:pStyle w:val="Heading3"/>
      </w:pPr>
      <w:bookmarkStart w:id="61" w:name="氧化还原响应"/>
      <w:bookmarkEnd w:id="61"/>
      <w:r>
        <w:t xml:space="preserve">氧化还原响应</w:t>
      </w:r>
    </w:p>
    <w:p>
      <w:pPr>
        <w:pStyle w:val="FirstParagraph"/>
      </w:pPr>
      <w:r>
        <w:t xml:space="preserve">采用作为氧化剂，作为还原剂，初步采用1.2被氧化剂进行氧化，氧化后使用</w:t>
      </w:r>
      <w:r>
        <w:t xml:space="preserve"> </w:t>
      </w:r>
      <w:r>
        <w:t xml:space="preserve">薄层色谱监测氧化完全，DLS测试体系内聚集体状况</w:t>
      </w:r>
    </w:p>
    <w:p>
      <w:pPr>
        <w:pStyle w:val="BodyText"/>
      </w:pPr>
      <w:r>
        <w:t xml:space="preserve">加入1.2被还原剂进行还原，还原后测试DLS随时间的变化，测试还原时间，进行多个氧化还原循环</w:t>
      </w:r>
    </w:p>
    <w:p>
      <w:pPr>
        <w:pStyle w:val="Heading1"/>
      </w:pPr>
      <w:bookmarkStart w:id="62" w:name="chapter:results"/>
      <w:bookmarkEnd w:id="62"/>
      <w:r>
        <w:t xml:space="preserve">实验结果与讨论</w:t>
      </w:r>
    </w:p>
    <w:p>
      <w:pPr>
        <w:pStyle w:val="Heading2"/>
      </w:pPr>
      <w:bookmarkStart w:id="63" w:name="含硒表面活性剂的表征与分析"/>
      <w:bookmarkEnd w:id="63"/>
      <w:r>
        <w:t xml:space="preserve">含硒表面活性剂的表征与分析</w:t>
      </w:r>
    </w:p>
    <w:p>
      <w:pPr>
        <w:pStyle w:val="Heading3"/>
      </w:pPr>
      <w:bookmarkStart w:id="64" w:name="sdseps的结构表征与分析"/>
      <w:bookmarkEnd w:id="64"/>
      <w:r>
        <w:t xml:space="preserve">SDSePS的结构表征与分析</w:t>
      </w:r>
    </w:p>
    <w:p>
      <w:pPr>
        <w:pStyle w:val="FirstParagraph"/>
      </w:pPr>
      <w:r>
        <w:t xml:space="preserve">以为溶剂，对纯化后的样品进行 NMR 表征，表征结果如图[fig:NMR-12+3]所示。</w:t>
      </w:r>
    </w:p>
    <w:p>
      <w:pPr>
        <w:pStyle w:val="BodyText"/>
      </w:pPr>
      <w:r>
        <w:drawing>
          <wp:inline>
            <wp:extent cx="3810000" cy="2540000"/>
            <wp:effectExtent b="0" l="0" r="0" t="0"/>
            <wp:docPr descr="SDSePS的核磁氢谱" title="fig:" id="1" name="Picture"/>
            <a:graphic>
              <a:graphicData uri="http://schemas.openxmlformats.org/drawingml/2006/picture">
                <pic:pic>
                  <pic:nvPicPr>
                    <pic:cNvPr descr="figure/SDSePS-nmr.pdf" id="0" name="Picture"/>
                    <pic:cNvPicPr>
                      <a:picLocks noChangeArrowheads="1" noChangeAspect="1"/>
                    </pic:cNvPicPr>
                  </pic:nvPicPr>
                  <pic:blipFill>
                    <a:blip r:embed="rId65"/>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t xml:space="preserve">NMR (400 MHz, , 图[fig:SDSePS-nmr]) δ 0.92 (t,</w:t>
      </w:r>
      <w:r>
        <w:t xml:space="preserve"> </w:t>
      </w:r>
      <w:r>
        <w:rPr>
          <w:i/>
        </w:rPr>
        <w:t xml:space="preserve">J</w:t>
      </w:r>
      <w:r>
        <w:t xml:space="preserve">=8.0 Hz, 3H), 1.31-1.41 (overlap, 18H),</w:t>
      </w:r>
      <w:r>
        <w:t xml:space="preserve"> </w:t>
      </w:r>
      <w:r>
        <w:t xml:space="preserve">1.67 (m, 2H), 2.01 (m, 2H), 2.60 (t,</w:t>
      </w:r>
      <w:r>
        <w:t xml:space="preserve"> </w:t>
      </w:r>
      <w:r>
        <w:rPr>
          <w:i/>
        </w:rPr>
        <w:t xml:space="preserve">J</w:t>
      </w:r>
      <w:r>
        <w:t xml:space="preserve">=8.0 Hz, 2H), 2.66 (t,</w:t>
      </w:r>
      <w:r>
        <w:t xml:space="preserve"> </w:t>
      </w:r>
      <w:r>
        <w:rPr>
          <w:i/>
        </w:rPr>
        <w:t xml:space="preserve">J</w:t>
      </w:r>
      <w:r>
        <w:t xml:space="preserve">=8.0 Hz, 2H), 4.10 (t,</w:t>
      </w:r>
      <w:r>
        <w:t xml:space="preserve"> </w:t>
      </w:r>
      <w:r>
        <w:rPr>
          <w:i/>
        </w:rPr>
        <w:t xml:space="preserve">J</w:t>
      </w:r>
      <w:r>
        <w:t xml:space="preserve">=6.0 Hz, 2H).</w:t>
      </w:r>
    </w:p>
    <w:p>
      <w:pPr>
        <w:pStyle w:val="BodyText"/>
      </w:pPr>
      <w:r>
        <w:t xml:space="preserve">对SDSePS的核磁共振氢谱进行解析，图[fig:SDSePS-nmr]中，</w:t>
      </w:r>
      <m:oMath>
        <m:r>
          <m:t>δ</m:t>
        </m:r>
      </m:oMath>
      <w:r>
        <w:t xml:space="preserve"> </w:t>
      </w:r>
      <w:r>
        <w:t xml:space="preserve">= 3.31的峰为溶剂残留峰，</w:t>
      </w:r>
      <w:r>
        <w:t xml:space="preserve"> </w:t>
      </w:r>
      <m:oMath>
        <m:r>
          <m:t>δ</m:t>
        </m:r>
      </m:oMath>
      <w:r>
        <w:t xml:space="preserve"> </w:t>
      </w:r>
      <w:r>
        <w:t xml:space="preserve">= 4.87为水峰</w:t>
      </w:r>
      <w:r>
        <w:t xml:space="preserve"> </w:t>
      </w:r>
      <w:r>
        <w:t xml:space="preserve">，峰a为 SDSePS 疏水链端甲基的氢信号，以其积分个数为 3 计算，</w:t>
      </w:r>
      <w:r>
        <w:t xml:space="preserve"> </w:t>
      </w:r>
      <w:r>
        <w:t xml:space="preserve">实际总氢个数为 31.68，理论氢个数为 31，氢个数基本吻合；峰b为长碳链出峰，氢个数为18；峰c、d分别为Se的两端</w:t>
      </w:r>
      <w:r>
        <w:t xml:space="preserve"> </w:t>
      </w:r>
      <m:oMath>
        <m:r>
          <m:t>β</m:t>
        </m:r>
      </m:oMath>
      <w:r>
        <w:t xml:space="preserve">位亚甲基氢出峰，其中峰d更靠近极性头基()向低场移动；峰e、f分别为Se的两端</w:t>
      </w:r>
      <m:oMath>
        <m:r>
          <m:t>α</m:t>
        </m:r>
      </m:oMath>
      <w:r>
        <w:t xml:space="preserve">位亚甲基氢出峰；</w:t>
      </w:r>
      <w:r>
        <w:t xml:space="preserve"> </w:t>
      </w:r>
      <m:oMath>
        <m:r>
          <m:t>δ</m:t>
        </m:r>
      </m:oMath>
      <w:r>
        <w:t xml:space="preserve"> </w:t>
      </w:r>
      <w:r>
        <w:t xml:space="preserve">= 4.10处峰g为靠近极性头基()的亚甲基氢出峰。各峰化学位移与氢个数均可与目标产物对应，</w:t>
      </w:r>
      <w:r>
        <w:t xml:space="preserve"> </w:t>
      </w:r>
      <w:r>
        <w:t xml:space="preserve">由此推断所测样品即为目标产物。</w:t>
      </w:r>
    </w:p>
    <w:p>
      <w:pPr>
        <w:pStyle w:val="BodyText"/>
      </w:pPr>
      <w:r>
        <w:t xml:space="preserve">以为溶剂，对SDSePS采用负离子模式进行 ESI-MS 测试，测试结果如图[fig:SDSePS-mass]所示。</w:t>
      </w:r>
    </w:p>
    <w:p>
      <w:pPr>
        <w:pStyle w:val="BodyText"/>
      </w:pPr>
      <w:r>
        <w:drawing>
          <wp:inline>
            <wp:extent cx="3810000" cy="2540000"/>
            <wp:effectExtent b="0" l="0" r="0" t="0"/>
            <wp:docPr descr="SDSePS的质谱" title="fig:" id="1" name="Picture"/>
            <a:graphic>
              <a:graphicData uri="http://schemas.openxmlformats.org/drawingml/2006/picture">
                <pic:pic>
                  <pic:nvPicPr>
                    <pic:cNvPr descr="figure/SDSePS-mass.pdf" id="0" name="Picture"/>
                    <pic:cNvPicPr>
                      <a:picLocks noChangeArrowheads="1" noChangeAspect="1"/>
                    </pic:cNvPicPr>
                  </pic:nvPicPr>
                  <pic:blipFill>
                    <a:blip r:embed="rId66"/>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t xml:space="preserve">负离子模式下，相对强度最高的</w:t>
      </w:r>
      <m:oMath>
        <m:r>
          <m:t>m</m:t>
        </m:r>
        <m:r>
          <m:t>/</m:t>
        </m:r>
        <m:r>
          <m:t>z</m:t>
        </m:r>
        <m:r>
          <m:t>=</m:t>
        </m:r>
        <m:r>
          <m:t>387</m:t>
        </m:r>
      </m:oMath>
      <w:r>
        <w:t xml:space="preserve">的峰应为的分子离子峰，与</w:t>
      </w:r>
      <w:r>
        <w:t xml:space="preserve"> </w:t>
      </w:r>
      <w:r>
        <w:t xml:space="preserve">的计算结果386.42基本相符，同时硒有多种稳定的同位素，也与测试结果相符合。</w:t>
      </w:r>
    </w:p>
    <w:p>
      <w:pPr>
        <w:pStyle w:val="Heading3"/>
      </w:pPr>
      <w:bookmarkStart w:id="67" w:name="sbseus的结构表征与分析"/>
      <w:bookmarkEnd w:id="67"/>
      <w:r>
        <w:t xml:space="preserve">SBSeUS的结构表征与分析</w:t>
      </w:r>
    </w:p>
    <w:p>
      <w:pPr>
        <w:pStyle w:val="FirstParagraph"/>
      </w:pPr>
      <w:r>
        <w:t xml:space="preserve">以为溶剂，对纯化后的样品进行 NMR 表征，表征结果如图[fig:NMR-12+3]所示。</w:t>
      </w:r>
    </w:p>
    <w:p>
      <w:pPr>
        <w:pStyle w:val="BodyText"/>
      </w:pPr>
      <w:r>
        <w:t xml:space="preserve">SBSeUS的核磁氢谱</w:t>
      </w:r>
      <w:r>
        <w:br w:type="textWrapping"/>
      </w:r>
    </w:p>
    <w:p>
      <w:pPr>
        <w:pStyle w:val="BodyText"/>
      </w:pPr>
      <w:r>
        <w:t xml:space="preserve">NMR (400 MHz, , 图[fig:SBSeUS-nmr]) δ 0.92 (t,</w:t>
      </w:r>
      <w:r>
        <w:t xml:space="preserve"> </w:t>
      </w:r>
      <w:r>
        <w:rPr>
          <w:i/>
        </w:rPr>
        <w:t xml:space="preserve">J</w:t>
      </w:r>
      <w:r>
        <w:t xml:space="preserve">=8.0 Hz, 3H), 1.31-1.41 (overlap, 18H),</w:t>
      </w:r>
      <w:r>
        <w:t xml:space="preserve"> </w:t>
      </w:r>
      <w:r>
        <w:t xml:space="preserve">1.67 (m, 2H), 2.01 (m, 2H), 2.60 (t,</w:t>
      </w:r>
      <w:r>
        <w:t xml:space="preserve"> </w:t>
      </w:r>
      <w:r>
        <w:rPr>
          <w:i/>
        </w:rPr>
        <w:t xml:space="preserve">J</w:t>
      </w:r>
      <w:r>
        <w:t xml:space="preserve">=8.0 Hz, 2H), 2.66 (t,</w:t>
      </w:r>
      <w:r>
        <w:t xml:space="preserve"> </w:t>
      </w:r>
      <w:r>
        <w:rPr>
          <w:i/>
        </w:rPr>
        <w:t xml:space="preserve">J</w:t>
      </w:r>
      <w:r>
        <w:t xml:space="preserve">=8.0 Hz, 2H), 4.10 (t,</w:t>
      </w:r>
      <w:r>
        <w:t xml:space="preserve"> </w:t>
      </w:r>
      <w:r>
        <w:rPr>
          <w:i/>
        </w:rPr>
        <w:t xml:space="preserve">J</w:t>
      </w:r>
      <w:r>
        <w:t xml:space="preserve">=6.0 Hz, 2H).</w:t>
      </w:r>
    </w:p>
    <w:p>
      <w:pPr>
        <w:pStyle w:val="BodyText"/>
      </w:pPr>
      <w:r>
        <w:t xml:space="preserve">对SDSePS的核磁共振氢谱进行解析，图[fig:SBSeUS-nmr]中，</w:t>
      </w:r>
      <m:oMath>
        <m:r>
          <m:t>δ</m:t>
        </m:r>
      </m:oMath>
      <w:r>
        <w:t xml:space="preserve"> </w:t>
      </w:r>
      <w:r>
        <w:t xml:space="preserve">= 3.31的峰为溶剂残留峰，</w:t>
      </w:r>
      <w:r>
        <w:t xml:space="preserve"> </w:t>
      </w:r>
      <m:oMath>
        <m:r>
          <m:t>δ</m:t>
        </m:r>
      </m:oMath>
      <w:r>
        <w:t xml:space="preserve"> </w:t>
      </w:r>
      <w:r>
        <w:t xml:space="preserve">= 4.87为水峰</w:t>
      </w:r>
      <w:r>
        <w:t xml:space="preserve"> </w:t>
      </w:r>
      <w:r>
        <w:t xml:space="preserve">，峰a为 SDSePS 疏水链端甲基的氢信号，以其积分个数为 3 计算，</w:t>
      </w:r>
      <w:r>
        <w:t xml:space="preserve"> </w:t>
      </w:r>
      <w:r>
        <w:t xml:space="preserve">实际总氢个数为 31.68，理论氢个数为 31，氢个数基本吻合；峰b为长碳链出峰，氢个数为18；峰c、d分别为Se的两端</w:t>
      </w:r>
      <w:r>
        <w:t xml:space="preserve"> </w:t>
      </w:r>
      <m:oMath>
        <m:r>
          <m:t>β</m:t>
        </m:r>
      </m:oMath>
      <w:r>
        <w:t xml:space="preserve">H出峰，其中峰d更靠近极性头基()向低场移动；峰e、f分别为Se的两端</w:t>
      </w:r>
      <m:oMath>
        <m:r>
          <m:t>α</m:t>
        </m:r>
      </m:oMath>
      <w:r>
        <w:t xml:space="preserve">位亚甲基氢出峰；</w:t>
      </w:r>
      <w:r>
        <w:t xml:space="preserve"> </w:t>
      </w:r>
      <m:oMath>
        <m:r>
          <m:t>δ</m:t>
        </m:r>
      </m:oMath>
      <w:r>
        <w:t xml:space="preserve"> </w:t>
      </w:r>
      <w:r>
        <w:t xml:space="preserve">= 4.10处峰g为靠近极性头基()的亚甲基氢出峰。各峰化学位移与氢个数均可与目标产物对应，</w:t>
      </w:r>
      <w:r>
        <w:t xml:space="preserve"> </w:t>
      </w:r>
      <w:r>
        <w:t xml:space="preserve">由此推断所测样品即为目标产物。</w:t>
      </w:r>
    </w:p>
    <w:p>
      <w:pPr>
        <w:pStyle w:val="BodyText"/>
      </w:pPr>
      <w:r>
        <w:t xml:space="preserve">以为溶剂，对SDSePS采用负离子模式进行 ESI-MS 测试，测试结果如图[fig:SBSeUS-mass]所示。</w:t>
      </w:r>
    </w:p>
    <w:p>
      <w:pPr>
        <w:pStyle w:val="BodyText"/>
      </w:pPr>
      <w:r>
        <w:t xml:space="preserve">SBSeUS的质谱</w:t>
      </w:r>
      <w:r>
        <w:br w:type="textWrapping"/>
      </w:r>
    </w:p>
    <w:p>
      <w:pPr>
        <w:pStyle w:val="BodyText"/>
      </w:pPr>
      <w:r>
        <w:t xml:space="preserve">负离子模式下，相对强度最高的</w:t>
      </w:r>
      <m:oMath>
        <m:r>
          <m:t>m</m:t>
        </m:r>
        <m:r>
          <m:t>/</m:t>
        </m:r>
        <m:r>
          <m:t>z</m:t>
        </m:r>
        <m:r>
          <m:t>=</m:t>
        </m:r>
        <m:r>
          <m:t>387</m:t>
        </m:r>
      </m:oMath>
      <w:r>
        <w:t xml:space="preserve">的峰应为的分子离子峰，与</w:t>
      </w:r>
      <w:r>
        <w:t xml:space="preserve"> </w:t>
      </w:r>
      <w:r>
        <w:t xml:space="preserve">的计算结果386.42基本相符，同时硒有多种稳定的同位素，也与测试结果相符合。</w:t>
      </w:r>
    </w:p>
    <w:p>
      <w:pPr>
        <w:pStyle w:val="Heading2"/>
      </w:pPr>
      <w:bookmarkStart w:id="68" w:name="阴阳离子表面活性剂囊泡的性质"/>
      <w:bookmarkEnd w:id="68"/>
      <w:r>
        <w:t xml:space="preserve">阴阳离子表面活性剂囊泡的性质</w:t>
      </w:r>
    </w:p>
    <w:p>
      <w:pPr>
        <w:pStyle w:val="Heading3"/>
      </w:pPr>
      <w:bookmarkStart w:id="69" w:name="不同摩尔比复配"/>
      <w:bookmarkEnd w:id="69"/>
      <w:r>
        <w:t xml:space="preserve">不同摩尔比复配</w:t>
      </w:r>
    </w:p>
    <w:p>
      <w:pPr>
        <w:pStyle w:val="Heading3"/>
      </w:pPr>
      <w:bookmarkStart w:id="70" w:name="sdseps不同摩尔比"/>
      <w:bookmarkEnd w:id="70"/>
      <w:r>
        <w:t xml:space="preserve">(1) SDSePS不同摩尔比</w:t>
      </w:r>
    </w:p>
    <w:p>
      <w:pPr>
        <w:pStyle w:val="FirstParagraph"/>
      </w:pPr>
      <w:r>
        <w:t xml:space="preserve">将配制好的5 mmol/L的SDSePS水溶液与等浓度的DTAB水溶液以不同摩尔比 (1:9、2:8、3:7、4:6、5:5、6:4、7:3、8:2、9:1)</w:t>
      </w:r>
      <w:r>
        <w:t xml:space="preserve"> </w:t>
      </w:r>
      <w:r>
        <w:t xml:space="preserve">复配成总体积5 mL的溶液，混合均匀放置于30 ℃水浴中静置12 h后，外观现象如图[fig:SDSePS-DTAB-ratio]所示，</w:t>
      </w:r>
      <w:r>
        <w:t xml:space="preserve"> </w:t>
      </w:r>
      <w:r>
        <w:t xml:space="preserve">可以观察到两端分别是摩尔比较低和较高时溶液更为澄清透明，其中阴阳离子摩尔比为9:1的样品完全澄清，而摩尔比接近</w:t>
      </w:r>
      <w:r>
        <w:t xml:space="preserve"> </w:t>
      </w:r>
      <w:r>
        <w:t xml:space="preserve">1的样品呈现不同程度的蓝光（也是囊泡体系的特征之一），摩尔比为7:3和8:2的样品显现蓝光外溶液略显浑浊。</w:t>
      </w:r>
    </w:p>
    <w:p>
      <w:pPr>
        <w:pStyle w:val="FigureWithCaption"/>
      </w:pPr>
      <w:r>
        <w:drawing>
          <wp:inline>
            <wp:extent cx="4506569" cy="1799999"/>
            <wp:effectExtent b="0" l="0" r="0" t="0"/>
            <wp:docPr descr="不同摩尔比SDSePS/DTAB复配体系外观和动态光散射测试结果" title="" id="1" name="Picture"/>
            <a:graphic>
              <a:graphicData uri="http://schemas.openxmlformats.org/drawingml/2006/picture">
                <pic:pic>
                  <pic:nvPicPr>
                    <pic:cNvPr descr="figure/SDSePS-DTAB-ratio.png" id="0" name="Picture"/>
                    <pic:cNvPicPr>
                      <a:picLocks noChangeArrowheads="1" noChangeAspect="1"/>
                    </pic:cNvPicPr>
                  </pic:nvPicPr>
                  <pic:blipFill>
                    <a:blip r:embed="rId71"/>
                    <a:stretch>
                      <a:fillRect/>
                    </a:stretch>
                  </pic:blipFill>
                  <pic:spPr bwMode="auto">
                    <a:xfrm>
                      <a:off x="0" y="0"/>
                      <a:ext cx="4506569" cy="1799999"/>
                    </a:xfrm>
                    <a:prstGeom prst="rect">
                      <a:avLst/>
                    </a:prstGeom>
                    <a:noFill/>
                    <a:ln w="9525">
                      <a:noFill/>
                      <a:headEnd/>
                      <a:tailEnd/>
                    </a:ln>
                  </pic:spPr>
                </pic:pic>
              </a:graphicData>
            </a:graphic>
          </wp:inline>
        </w:drawing>
      </w:r>
    </w:p>
    <w:p>
      <w:pPr>
        <w:pStyle w:val="ImageCaption"/>
      </w:pPr>
      <w:r>
        <w:t xml:space="preserve">不同摩尔比SDSePS/DTAB复配体系外观和动态光散射测试结果</w:t>
      </w:r>
    </w:p>
    <w:p>
      <w:pPr>
        <w:pStyle w:val="FigureWithCaption"/>
      </w:pPr>
      <w:r>
        <w:drawing>
          <wp:inline>
            <wp:extent cx="3810000" cy="2540000"/>
            <wp:effectExtent b="0" l="0" r="0" t="0"/>
            <wp:docPr descr="不同摩尔比SDSePS/DTAB复配体系外观和动态光散射测试结果" title="" id="1" name="Picture"/>
            <a:graphic>
              <a:graphicData uri="http://schemas.openxmlformats.org/drawingml/2006/picture">
                <pic:pic>
                  <pic:nvPicPr>
                    <pic:cNvPr descr="figure/SDSePS-DTAB-ratio-fig.pdf" id="0" name="Picture"/>
                    <pic:cNvPicPr>
                      <a:picLocks noChangeArrowheads="1" noChangeAspect="1"/>
                    </pic:cNvPicPr>
                  </pic:nvPicPr>
                  <pic:blipFill>
                    <a:blip r:embed="rId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不同摩尔比SDSePS/DTAB复配体系外观和动态光散射测试结果</w:t>
      </w:r>
    </w:p>
    <w:p>
      <w:pPr>
        <w:pStyle w:val="BodyText"/>
      </w:pPr>
      <w:r>
        <w:t xml:space="preserve">所有样品继续恒温静置3天后，摩尔比接近1的5:5和6:4样品产生团絮状沉淀，这应是由于摩尔比接近1时，</w:t>
      </w:r>
      <w:r>
        <w:t xml:space="preserve"> </w:t>
      </w:r>
      <w:r>
        <w:t xml:space="preserve">聚集体表面电荷密度更低，仅由离子对解离产生的微弱电荷被溶液中的反离子屏蔽，而聚集体之间的</w:t>
      </w:r>
      <w:r>
        <w:t xml:space="preserve"> </w:t>
      </w:r>
      <w:r>
        <w:t xml:space="preserve">静电斥力是保持体系稳定的重要因素，所以此时体系静置后产生团絮状沉淀。</w:t>
      </w:r>
    </w:p>
    <w:p>
      <w:pPr>
        <w:pStyle w:val="BodyText"/>
      </w:pPr>
      <w:r>
        <w:t xml:space="preserve">图[fig:SDSePS-DTAB-ratio-fig]为采用动态光散射对上述不同摩尔比的复配体系进行测试的结果，</w:t>
      </w:r>
      <w:r>
        <w:t xml:space="preserve"> </w:t>
      </w:r>
      <w:r>
        <w:t xml:space="preserve">结果表明多数样品中均有平均流体力学半径在40-50 nm的聚集体存在，结合复配体系外观呈现蓝色，</w:t>
      </w:r>
      <w:r>
        <w:t xml:space="preserve"> </w:t>
      </w:r>
      <w:r>
        <w:t xml:space="preserve">可说明溶液中存在囊泡相。其中摩尔比为9:1的样品的动态光散射结果表明溶液中未检出聚集体的</w:t>
      </w:r>
      <w:r>
        <w:t xml:space="preserve"> </w:t>
      </w:r>
      <w:r>
        <w:t xml:space="preserve">存在，其他摩尔比接近1的样品，其平均流体力学半径相对偏低，其中摩尔比7:3的样品最低，为34.32 nm.</w:t>
      </w:r>
    </w:p>
    <w:p>
      <w:pPr>
        <w:pStyle w:val="Heading3"/>
      </w:pPr>
      <w:bookmarkStart w:id="73" w:name="sbseus不同摩尔比"/>
      <w:bookmarkEnd w:id="73"/>
      <w:r>
        <w:t xml:space="preserve">(2) SBSeUS不同摩尔比</w:t>
      </w:r>
    </w:p>
    <w:p>
      <w:pPr>
        <w:pStyle w:val="FirstParagraph"/>
      </w:pPr>
      <w:r>
        <w:t xml:space="preserve">同SDSePS/DTAB复配体系一样，将配制好的5 mmol/L的SBSeUS水溶液与等浓度的DTAB水溶液</w:t>
      </w:r>
      <w:r>
        <w:t xml:space="preserve"> </w:t>
      </w:r>
      <w:r>
        <w:t xml:space="preserve">以不同摩尔比 (1:9、2:8、3:7、4:6、5:5、6:4、7:3、8:2、9:1) 复配成总体积5 mL的溶液，混合均匀，</w:t>
      </w:r>
      <w:r>
        <w:t xml:space="preserve"> </w:t>
      </w:r>
      <w:r>
        <w:t xml:space="preserve">放置于30 ℃水浴中静置12 h后，外观现象如图[fig:SBSeUS-DTAB-ratio]所示，同SDSePS/DTAB</w:t>
      </w:r>
      <w:r>
        <w:t xml:space="preserve"> </w:t>
      </w:r>
      <w:r>
        <w:t xml:space="preserve">复配体系相似，图中两端位置分别是摩尔比较低和较高时溶液，其更为澄清透明，而摩尔比接近</w:t>
      </w:r>
      <w:r>
        <w:t xml:space="preserve"> </w:t>
      </w:r>
      <w:r>
        <w:t xml:space="preserve">1的样品呈现不同程度的蓝光，这说明了可能有囊泡的存在。</w:t>
      </w:r>
    </w:p>
    <w:p>
      <w:pPr>
        <w:pStyle w:val="BodyText"/>
      </w:pPr>
      <w:r>
        <w:drawing>
          <wp:inline>
            <wp:extent cx="4449878" cy="1799999"/>
            <wp:effectExtent b="0" l="0" r="0" t="0"/>
            <wp:docPr descr="不同摩尔比SBSeUS/DTAB复配体系外观和动态光散射测试结果" title="fig:" id="1" name="Picture"/>
            <a:graphic>
              <a:graphicData uri="http://schemas.openxmlformats.org/drawingml/2006/picture">
                <pic:pic>
                  <pic:nvPicPr>
                    <pic:cNvPr descr="figure/SBSeUS-DTAB-ratio.png" id="0" name="Picture"/>
                    <pic:cNvPicPr>
                      <a:picLocks noChangeArrowheads="1" noChangeAspect="1"/>
                    </pic:cNvPicPr>
                  </pic:nvPicPr>
                  <pic:blipFill>
                    <a:blip r:embed="rId74"/>
                    <a:stretch>
                      <a:fillRect/>
                    </a:stretch>
                  </pic:blipFill>
                  <pic:spPr bwMode="auto">
                    <a:xfrm>
                      <a:off x="0" y="0"/>
                      <a:ext cx="4449878" cy="1799999"/>
                    </a:xfrm>
                    <a:prstGeom prst="rect">
                      <a:avLst/>
                    </a:prstGeom>
                    <a:noFill/>
                    <a:ln w="9525">
                      <a:noFill/>
                      <a:headEnd/>
                      <a:tailEnd/>
                    </a:ln>
                  </pic:spPr>
                </pic:pic>
              </a:graphicData>
            </a:graphic>
          </wp:inline>
        </w:drawing>
      </w:r>
      <w:r>
        <w:br w:type="textWrapping"/>
      </w:r>
    </w:p>
    <w:p>
      <w:pPr>
        <w:pStyle w:val="BodyText"/>
      </w:pPr>
      <w:r>
        <w:drawing>
          <wp:inline>
            <wp:extent cx="3810000" cy="2540000"/>
            <wp:effectExtent b="0" l="0" r="0" t="0"/>
            <wp:docPr descr="不同摩尔比SBSeUS/DTAB复配体系外观和动态光散射测试结果" title="fig:" id="1" name="Picture"/>
            <a:graphic>
              <a:graphicData uri="http://schemas.openxmlformats.org/drawingml/2006/picture">
                <pic:pic>
                  <pic:nvPicPr>
                    <pic:cNvPr descr="figure/SBSeUS-DTAB-ratio-fig.pdf"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t xml:space="preserve">同样，继续长时间放置后，摩尔比接近1的样品会产生团絮状沉淀。</w:t>
      </w:r>
    </w:p>
    <w:p>
      <w:pPr>
        <w:pStyle w:val="BodyText"/>
      </w:pPr>
      <w:r>
        <w:t xml:space="preserve">图[fig:SBSeUS-DTAB-ratio-fig]为采用动态光散射对图[fig:SBSeUS-DTAB-ratio]中不同摩尔比的</w:t>
      </w:r>
      <w:r>
        <w:t xml:space="preserve"> </w:t>
      </w:r>
      <w:r>
        <w:t xml:space="preserve">复配体系进行测试的结果，结果表明多数样品中均有平均流体力学半径在40-60 nm的聚集体存在，</w:t>
      </w:r>
      <w:r>
        <w:t xml:space="preserve"> </w:t>
      </w:r>
      <w:r>
        <w:t xml:space="preserve">结合复配体系外观呈现蓝色的现象，这说明溶液中很有可能存在囊泡相。其中摩尔比为8:2和9:1的</w:t>
      </w:r>
      <w:r>
        <w:t xml:space="preserve"> </w:t>
      </w:r>
      <w:r>
        <w:t xml:space="preserve">样品，其平均流体力学半径较大，分别为74.93 nm和84.25 nm.</w:t>
      </w:r>
    </w:p>
    <w:p>
      <w:pPr>
        <w:pStyle w:val="Heading3"/>
      </w:pPr>
      <w:bookmarkStart w:id="76" w:name="囊泡稳定性"/>
      <w:bookmarkEnd w:id="76"/>
      <w:r>
        <w:t xml:space="preserve">囊泡稳定性</w:t>
      </w:r>
    </w:p>
    <w:p>
      <w:pPr>
        <w:pStyle w:val="FirstParagraph"/>
      </w:pPr>
      <w:r>
        <w:t xml:space="preserve">分别从耐盐性和随时间的变化两个方面考察阴阳离子表面活性剂复配体系的稳定性。</w:t>
      </w:r>
    </w:p>
    <w:p>
      <w:pPr>
        <w:pStyle w:val="BodyText"/>
      </w:pPr>
      <w:r>
        <w:t xml:space="preserve">对于耐盐性，选择以少量多次的方式不断加入直至囊泡相消失，选用是由于本论文中</w:t>
      </w:r>
      <w:r>
        <w:t xml:space="preserve"> </w:t>
      </w:r>
      <w:r>
        <w:t xml:space="preserve">设计的含硒阴离子表面活性剂的氧化还原刺激响应性中，采用作为还原剂，会产生</w:t>
      </w:r>
      <w:r>
        <w:t xml:space="preserve"> </w:t>
      </w:r>
      <w:r>
        <w:t xml:space="preserve">副产物，与此同时，本论文涉及的阴阳离子表面活性剂复配体系为含盐体系（阴阳离子</w:t>
      </w:r>
      <w:r>
        <w:t xml:space="preserve"> </w:t>
      </w:r>
      <w:r>
        <w:t xml:space="preserve">表面活性剂带入的反离子），其最多含盐 (NaBr) 不会超过体系浓度的0.5倍，这相较于加入的</w:t>
      </w:r>
      <w:r>
        <w:t xml:space="preserve"> </w:t>
      </w:r>
      <w:r>
        <w:t xml:space="preserve">的量非常低。</w:t>
      </w:r>
    </w:p>
    <w:p>
      <w:pPr>
        <w:pStyle w:val="BodyText"/>
      </w:pPr>
      <w:r>
        <w:t xml:space="preserve">对于相对时间的稳定性，根据外观现象、动态光散射测试结果及耐盐性选择一个含有囊泡相的最佳摩尔配比，</w:t>
      </w:r>
      <w:r>
        <w:t xml:space="preserve"> </w:t>
      </w:r>
      <w:r>
        <w:t xml:space="preserve">采用动态光散射对这一复配体系连续监测其中的聚集体变化。</w:t>
      </w:r>
    </w:p>
    <w:p>
      <w:pPr>
        <w:pStyle w:val="Heading3"/>
      </w:pPr>
      <w:bookmarkStart w:id="77" w:name="耐盐稳定性"/>
      <w:bookmarkEnd w:id="77"/>
      <w:r>
        <w:t xml:space="preserve">(1) 耐盐稳定性</w:t>
      </w:r>
    </w:p>
    <w:p>
      <w:pPr>
        <w:pStyle w:val="FirstParagraph"/>
      </w:pPr>
      <w:r>
        <w:t xml:space="preserve">以少量多次的方式向阴阳离子表面活性剂复配体系SDSePS/DTAB和SBSeUS/DTAB中加入，</w:t>
      </w:r>
      <w:r>
        <w:t xml:space="preserve"> </w:t>
      </w:r>
      <w:r>
        <w:t xml:space="preserve">直至囊泡相消失，将加入的计算相应的浓度作相图，见图[fig:耐盐相图]。</w:t>
      </w:r>
    </w:p>
    <w:p>
      <w:pPr>
        <w:pStyle w:val="FigureWithCaption"/>
      </w:pPr>
      <w:r>
        <w:drawing>
          <wp:inline>
            <wp:extent cx="3810000" cy="2540000"/>
            <wp:effectExtent b="0" l="0" r="0" t="0"/>
            <wp:docPr descr="SDSePS/DTAB复配体系及SBSeUS/DTAB复配体系的耐盐相图" title="" id="1" name="Picture"/>
            <a:graphic>
              <a:graphicData uri="http://schemas.openxmlformats.org/drawingml/2006/picture">
                <pic:pic>
                  <pic:nvPicPr>
                    <pic:cNvPr descr="figure/SDSePS-salt.pdf" id="0" name="Picture"/>
                    <pic:cNvPicPr>
                      <a:picLocks noChangeArrowheads="1" noChangeAspect="1"/>
                    </pic:cNvPicPr>
                  </pic:nvPicPr>
                  <pic:blipFill>
                    <a:blip r:embed="rId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SDSePS/DTAB复配体系及SBSeUS/DTAB复配体系的耐盐相图</w:t>
      </w:r>
    </w:p>
    <w:p>
      <w:pPr>
        <w:pStyle w:val="BodyText"/>
      </w:pPr>
      <w:r>
        <w:drawing>
          <wp:inline>
            <wp:extent cx="3810000" cy="2540000"/>
            <wp:effectExtent b="0" l="0" r="0" t="0"/>
            <wp:docPr descr="SDSePS/DTAB复配体系及SBSeUS/DTAB复配体系的耐盐相图" title="fig:" id="1" name="Picture"/>
            <a:graphic>
              <a:graphicData uri="http://schemas.openxmlformats.org/drawingml/2006/picture">
                <pic:pic>
                  <pic:nvPicPr>
                    <pic:cNvPr descr="figure/SBSeUS-salt.pdf" id="0" name="Picture"/>
                    <pic:cNvPicPr>
                      <a:picLocks noChangeArrowheads="1" noChangeAspect="1"/>
                    </pic:cNvPicPr>
                  </pic:nvPicPr>
                  <pic:blipFill>
                    <a:blip r:embed="rId79"/>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t xml:space="preserve">图[fig:SDSePS-salt]为SDSePS/DTAB复配体系的耐盐相图，其中红色部分表示在此</w:t>
      </w:r>
      <w:r>
        <w:t xml:space="preserve"> </w:t>
      </w:r>
      <w:r>
        <w:t xml:space="preserve">浓度的存在下，体系尚可保持囊泡相的存在，溶液仍然可见蓝光；绿色和</w:t>
      </w:r>
      <w:r>
        <w:t xml:space="preserve"> </w:t>
      </w:r>
      <w:r>
        <w:t xml:space="preserve">蓝色部分则表示加入过量，囊泡相不复存在。而当n(SDSePS):n(DTAB)小于</w:t>
      </w:r>
      <w:r>
        <w:t xml:space="preserve"> </w:t>
      </w:r>
      <w:r>
        <w:t xml:space="preserve">1时，当加入过量，即绿色部分，溶液变为澄清透明；当n(SDSePS):n(DTAB)</w:t>
      </w:r>
      <w:r>
        <w:t xml:space="preserve"> </w:t>
      </w:r>
      <w:r>
        <w:t xml:space="preserve">大于1时，当加入过量，即蓝色部分，溶液出现浑浊。所有样品中，摩尔比</w:t>
      </w:r>
      <w:r>
        <w:t xml:space="preserve"> </w:t>
      </w:r>
      <w:r>
        <w:t xml:space="preserve">为4:6的样品耐盐性最好，可耐受3.10 mol/L 。</w:t>
      </w:r>
    </w:p>
    <w:p>
      <w:pPr>
        <w:pStyle w:val="BodyText"/>
      </w:pPr>
      <w:r>
        <w:t xml:space="preserve">图[fig:SBSeUS-salt]为SBSeUS/DTAB复配体系的耐盐相图，现象基本同SDSePS/DTAB</w:t>
      </w:r>
      <w:r>
        <w:t xml:space="preserve"> </w:t>
      </w:r>
      <w:r>
        <w:t xml:space="preserve">复配体系相似，其中红色部分表示在此浓度的存在下，体系尚可保持囊泡相的</w:t>
      </w:r>
      <w:r>
        <w:t xml:space="preserve"> </w:t>
      </w:r>
      <w:r>
        <w:t xml:space="preserve">存在；绿色部分表示溶液变为澄清透明；蓝色部分表示溶液出现浑浊。所有样品中，摩尔比</w:t>
      </w:r>
      <w:r>
        <w:t xml:space="preserve"> </w:t>
      </w:r>
      <w:r>
        <w:t xml:space="preserve">为4:6的样品耐盐性最好，可耐受1.93 mol/L ，相对于SDSePS/DTAB复配体系，</w:t>
      </w:r>
      <w:r>
        <w:t xml:space="preserve"> </w:t>
      </w:r>
      <w:r>
        <w:t xml:space="preserve">SBSeUS/DTAB复配体系的耐盐性偏低。</w:t>
      </w:r>
    </w:p>
    <w:p>
      <w:pPr>
        <w:pStyle w:val="Heading3"/>
      </w:pPr>
      <w:bookmarkStart w:id="80" w:name="粒径随时间变化"/>
      <w:bookmarkEnd w:id="80"/>
      <w:r>
        <w:t xml:space="preserve">(2) 粒径随时间变化</w:t>
      </w:r>
    </w:p>
    <w:p>
      <w:pPr>
        <w:pStyle w:val="FirstParagraph"/>
      </w:pPr>
      <w:r>
        <w:t xml:space="preserve">根据外观现象、动态光散射 (DLS) 和耐盐性测试的结果，选定阴阳离子表面活性剂摩尔比为</w:t>
      </w:r>
      <w:r>
        <w:t xml:space="preserve"> </w:t>
      </w:r>
      <w:r>
        <w:t xml:space="preserve">4:6的样品进行SDSePS/DTAB复配体系的后续研究，该配比下体系澄清且蓝光强烈，聚集体</w:t>
      </w:r>
      <w:r>
        <w:t xml:space="preserve"> </w:t>
      </w:r>
      <w:r>
        <w:t xml:space="preserve">平均流体力学半径为38.67 nm，存在囊泡相，并且耐盐效果较好。同样标准选择SBSeUS/DTAB</w:t>
      </w:r>
      <w:r>
        <w:t xml:space="preserve"> </w:t>
      </w:r>
      <w:r>
        <w:t xml:space="preserve">复配体系的最佳摩尔比为4:6.</w:t>
      </w:r>
    </w:p>
    <w:p>
      <w:pPr>
        <w:pStyle w:val="BodyText"/>
      </w:pPr>
      <w:r>
        <w:t xml:space="preserve">对选定配比的阴阳离子表面活性剂体系进行动态光散射测试，对其中的聚集体即囊泡的粒径</w:t>
      </w:r>
      <w:r>
        <w:t xml:space="preserve"> </w:t>
      </w:r>
      <w:r>
        <w:t xml:space="preserve">连续测试十天，测试结果见图[fig:vesicle-time-stability]。</w:t>
      </w:r>
    </w:p>
    <w:p>
      <w:pPr>
        <w:pStyle w:val="BodyText"/>
      </w:pPr>
      <w:r>
        <w:drawing>
          <wp:inline>
            <wp:extent cx="3810000" cy="2540000"/>
            <wp:effectExtent b="0" l="0" r="0" t="0"/>
            <wp:docPr descr="复配囊泡稳定性" title="fig:" id="1" name="Picture"/>
            <a:graphic>
              <a:graphicData uri="http://schemas.openxmlformats.org/drawingml/2006/picture">
                <pic:pic>
                  <pic:nvPicPr>
                    <pic:cNvPr descr="figure/vesicle-time-stability.pdf" id="0" name="Picture"/>
                    <pic:cNvPicPr>
                      <a:picLocks noChangeArrowheads="1" noChangeAspect="1"/>
                    </pic:cNvPicPr>
                  </pic:nvPicPr>
                  <pic:blipFill>
                    <a:blip r:embed="rId81"/>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t xml:space="preserve">图[fig:vesicle-time-stability]表明SDSePS/DTAB复配体系和SBSeUS/DTAB复配体系中的囊泡</w:t>
      </w:r>
      <w:r>
        <w:t xml:space="preserve"> </w:t>
      </w:r>
      <w:r>
        <w:t xml:space="preserve">粒径变化规律基本一致，12 h内囊泡粒径快速上升，之后数天内保持缓慢增长。这与Leng和Cates</w:t>
      </w:r>
      <w:r>
        <w:t xml:space="preserve"> </w:t>
      </w:r>
      <w:r>
        <w:t xml:space="preserve">等人提出的自发形成囊泡的动力学过程模型</w:t>
      </w:r>
      <w:r>
        <w:t xml:space="preserve">较为符合：前期囊泡形成过程快速，后期</w:t>
      </w:r>
      <w:r>
        <w:t xml:space="preserve"> </w:t>
      </w:r>
      <w:r>
        <w:t xml:space="preserve">需要较长时间完成单层囊泡的熟化、分裂和相互融合。图[fig:vesicle-radius]也表明在囊泡的陈化</w:t>
      </w:r>
      <w:r>
        <w:t xml:space="preserve"> </w:t>
      </w:r>
      <w:r>
        <w:t xml:space="preserve">过程中，不仅囊泡的平均流体力学半径增加，而且其粒径分布也会变宽。</w:t>
      </w:r>
    </w:p>
    <w:p>
      <w:pPr>
        <w:pStyle w:val="BodyText"/>
      </w:pPr>
      <w:r>
        <w:drawing>
          <wp:inline>
            <wp:extent cx="3810000" cy="2540000"/>
            <wp:effectExtent b="0" l="0" r="0" t="0"/>
            <wp:docPr descr="SDSePS/DTAB粒径分布随时间变化" title="fig:" id="1" name="Picture"/>
            <a:graphic>
              <a:graphicData uri="http://schemas.openxmlformats.org/drawingml/2006/picture">
                <pic:pic>
                  <pic:nvPicPr>
                    <pic:cNvPr descr="figure/vesicle-radius.pdf" id="0" name="Picture"/>
                    <pic:cNvPicPr>
                      <a:picLocks noChangeArrowheads="1" noChangeAspect="1"/>
                    </pic:cNvPicPr>
                  </pic:nvPicPr>
                  <pic:blipFill>
                    <a:blip r:embed="rId82"/>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Heading3"/>
      </w:pPr>
      <w:bookmarkStart w:id="83" w:name="不同浓度-1"/>
      <w:bookmarkEnd w:id="83"/>
      <w:r>
        <w:t xml:space="preserve">不同浓度</w:t>
      </w:r>
    </w:p>
    <w:p>
      <w:pPr>
        <w:pStyle w:val="FirstParagraph"/>
      </w:pPr>
      <w:r>
        <w:t xml:space="preserve">将先前配制的5 mmol/L、10 mmol/L的SDSePS、SBSeUS和DTAB母液稀释、定容配制一系列</w:t>
      </w:r>
      <w:r>
        <w:t xml:space="preserve"> </w:t>
      </w:r>
      <w:r>
        <w:t xml:space="preserve">浓度不等的溶液 (0.5 mmol/L、1 mmol/L、2 mmol/L、2.5 mmol/L、5 mmol/L和10 mmol/L)，</w:t>
      </w:r>
      <w:r>
        <w:t xml:space="preserve"> </w:t>
      </w:r>
      <w:r>
        <w:t xml:space="preserve">分别按体积比4:6移取同等浓度的SDSePS和DTAB溶液混合得到不同浓度的SDSePS/DTAB复配体系，</w:t>
      </w:r>
      <w:r>
        <w:t xml:space="preserve"> </w:t>
      </w:r>
      <w:r>
        <w:t xml:space="preserve">按同样操作制得不同浓度的SBSeUS/DTAB复配体系，于30 ℃恒温静置12 h后所得的外观现象</w:t>
      </w:r>
      <w:r>
        <w:t xml:space="preserve"> </w:t>
      </w:r>
      <w:r>
        <w:t xml:space="preserve">如图[fig:不同浓度的复配体系]，对其进行动态光散射测试，所得的聚集体粒径结果如图[fig:vesicle-concentration-line]。</w:t>
      </w:r>
    </w:p>
    <w:p>
      <w:pPr>
        <w:pStyle w:val="BodyText"/>
      </w:pPr>
      <w:r>
        <w:drawing>
          <wp:inline>
            <wp:extent cx="2648263" cy="1619999"/>
            <wp:effectExtent b="0" l="0" r="0" t="0"/>
            <wp:docPr descr="不同浓度的复配体系" title="fig:" id="1" name="Picture"/>
            <a:graphic>
              <a:graphicData uri="http://schemas.openxmlformats.org/drawingml/2006/picture">
                <pic:pic>
                  <pic:nvPicPr>
                    <pic:cNvPr descr="figure/SDSePS-concentration.png" id="0" name="Picture"/>
                    <pic:cNvPicPr>
                      <a:picLocks noChangeArrowheads="1" noChangeAspect="1"/>
                    </pic:cNvPicPr>
                  </pic:nvPicPr>
                  <pic:blipFill>
                    <a:blip r:embed="rId84"/>
                    <a:stretch>
                      <a:fillRect/>
                    </a:stretch>
                  </pic:blipFill>
                  <pic:spPr bwMode="auto">
                    <a:xfrm>
                      <a:off x="0" y="0"/>
                      <a:ext cx="2648263" cy="1619999"/>
                    </a:xfrm>
                    <a:prstGeom prst="rect">
                      <a:avLst/>
                    </a:prstGeom>
                    <a:noFill/>
                    <a:ln w="9525">
                      <a:noFill/>
                      <a:headEnd/>
                      <a:tailEnd/>
                    </a:ln>
                  </pic:spPr>
                </pic:pic>
              </a:graphicData>
            </a:graphic>
          </wp:inline>
        </w:drawing>
      </w:r>
      <w:r>
        <w:br w:type="textWrapping"/>
      </w:r>
    </w:p>
    <w:p>
      <w:pPr>
        <w:pStyle w:val="BodyText"/>
      </w:pPr>
      <w:r>
        <w:drawing>
          <wp:inline>
            <wp:extent cx="2583925" cy="1619999"/>
            <wp:effectExtent b="0" l="0" r="0" t="0"/>
            <wp:docPr descr="不同浓度的复配体系" title="fig:" id="1" name="Picture"/>
            <a:graphic>
              <a:graphicData uri="http://schemas.openxmlformats.org/drawingml/2006/picture">
                <pic:pic>
                  <pic:nvPicPr>
                    <pic:cNvPr descr="figure/SBSeUS-concentration.png" id="0" name="Picture"/>
                    <pic:cNvPicPr>
                      <a:picLocks noChangeArrowheads="1" noChangeAspect="1"/>
                    </pic:cNvPicPr>
                  </pic:nvPicPr>
                  <pic:blipFill>
                    <a:blip r:embed="rId85"/>
                    <a:stretch>
                      <a:fillRect/>
                    </a:stretch>
                  </pic:blipFill>
                  <pic:spPr bwMode="auto">
                    <a:xfrm>
                      <a:off x="0" y="0"/>
                      <a:ext cx="2583925" cy="1619999"/>
                    </a:xfrm>
                    <a:prstGeom prst="rect">
                      <a:avLst/>
                    </a:prstGeom>
                    <a:noFill/>
                    <a:ln w="9525">
                      <a:noFill/>
                      <a:headEnd/>
                      <a:tailEnd/>
                    </a:ln>
                  </pic:spPr>
                </pic:pic>
              </a:graphicData>
            </a:graphic>
          </wp:inline>
        </w:drawing>
      </w:r>
      <w:r>
        <w:br w:type="textWrapping"/>
      </w:r>
    </w:p>
    <w:p>
      <w:pPr>
        <w:pStyle w:val="BodyText"/>
      </w:pPr>
      <w:r>
        <w:t xml:space="preserve">图[fig:vesicle-SDSePS-concentration]和图[fig:vesicle-SBSeUS-concentration]分别</w:t>
      </w:r>
      <w:r>
        <w:t xml:space="preserve"> </w:t>
      </w:r>
      <w:r>
        <w:t xml:space="preserve">为不同浓度的SDSePS/DTAB和SBSeUS/DTAB复配体系外观现象，可以看出从浓度为1 mmol/L</w:t>
      </w:r>
      <w:r>
        <w:t xml:space="preserve"> </w:t>
      </w:r>
      <w:r>
        <w:t xml:space="preserve">开始复配溶液即开始出现蓝光，而且浓度越高，蓝光愈强。其中SDSePS/DTAB的复配</w:t>
      </w:r>
      <w:r>
        <w:t xml:space="preserve"> </w:t>
      </w:r>
      <w:r>
        <w:t xml:space="preserve">体系在较低浓度即1 mmol/L和2 mmol/L时静置后产生少许细密颗粒状沉淀，经0.22</w:t>
      </w:r>
      <w:r>
        <w:t xml:space="preserve"> </w:t>
      </w:r>
      <m:oMath>
        <m:r>
          <m:t>μ</m:t>
        </m:r>
      </m:oMath>
      <w:r>
        <w:t xml:space="preserve">m</w:t>
      </w:r>
      <w:r>
        <w:t xml:space="preserve"> </w:t>
      </w:r>
      <w:r>
        <w:t xml:space="preserve">水系滤膜过滤后仍可显现蓝光。</w:t>
      </w:r>
    </w:p>
    <w:p>
      <w:pPr>
        <w:pStyle w:val="BodyText"/>
      </w:pPr>
      <w:r>
        <w:drawing>
          <wp:inline>
            <wp:extent cx="3810000" cy="2540000"/>
            <wp:effectExtent b="0" l="0" r="0" t="0"/>
            <wp:docPr descr="4+11不同浓度复配囊泡粒径变化" title="fig:" id="1" name="Picture"/>
            <a:graphic>
              <a:graphicData uri="http://schemas.openxmlformats.org/drawingml/2006/picture">
                <pic:pic>
                  <pic:nvPicPr>
                    <pic:cNvPr descr="Figure/vesicle-concentration-line.pdf" id="0" name="Picture"/>
                    <pic:cNvPicPr>
                      <a:picLocks noChangeArrowheads="1" noChangeAspect="1"/>
                    </pic:cNvPicPr>
                  </pic:nvPicPr>
                  <pic:blipFill>
                    <a:blip r:embed="rId86"/>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t xml:space="preserve">图[fig:vesicle-concentration-line]显示了SDSePS/DTAB和SBSeUS/DTAB两种复配体系</w:t>
      </w:r>
      <w:r>
        <w:t xml:space="preserve"> </w:t>
      </w:r>
      <w:r>
        <w:t xml:space="preserve">中聚集体随着复配溶液浓度的变化情况。其中SDSePS/DTAB复配体系在其浓度小于等于1 mmol/L</w:t>
      </w:r>
      <w:r>
        <w:t xml:space="preserve"> </w:t>
      </w:r>
      <w:r>
        <w:t xml:space="preserve">时均存在粒径较大的聚集体存在，一般不认为这是囊泡[？]，当溶液浓度达2 mmol/L时，体系中的</w:t>
      </w:r>
      <w:r>
        <w:t xml:space="preserve"> </w:t>
      </w:r>
      <w:r>
        <w:t xml:space="preserve">聚集体尺寸急剧下降到平均流体动力学半径100 nm一下，当浓度达2.5 mmol/L以后，粒径</w:t>
      </w:r>
      <w:r>
        <w:t xml:space="preserve"> </w:t>
      </w:r>
      <w:r>
        <w:t xml:space="preserve">变化趋势趋于平缓，基本在40 nm左右，但尺寸继续随浓度升高而降低。【原因】SBSeUS/DTAB</w:t>
      </w:r>
      <w:r>
        <w:t xml:space="preserve"> </w:t>
      </w:r>
      <w:r>
        <w:t xml:space="preserve">复配体系的粒径及其变化趋势基本同SDSePS/DTAB复配体系一致，</w:t>
      </w:r>
    </w:p>
    <w:p>
      <w:pPr>
        <w:pStyle w:val="Heading3"/>
      </w:pPr>
      <w:bookmarkStart w:id="87" w:name="氧化还原响应-1"/>
      <w:bookmarkEnd w:id="87"/>
      <w:r>
        <w:t xml:space="preserve">氧化还原响应</w:t>
      </w:r>
    </w:p>
    <w:p>
      <w:pPr>
        <w:pStyle w:val="Heading4"/>
      </w:pPr>
      <w:bookmarkStart w:id="88" w:name="氧化还原"/>
      <w:bookmarkEnd w:id="88"/>
      <w:r>
        <w:t xml:space="preserve">12+3氧化还原</w:t>
      </w:r>
    </w:p>
    <w:p>
      <w:pPr>
        <w:pStyle w:val="FirstParagraph"/>
      </w:pPr>
      <w:r>
        <w:t xml:space="preserve">12+3点板氧化确认</w:t>
      </w:r>
      <w:r>
        <w:br w:type="textWrapping"/>
      </w:r>
    </w:p>
    <w:p>
      <w:pPr>
        <w:pStyle w:val="BodyText"/>
      </w:pPr>
      <w:r>
        <w:drawing>
          <wp:inline>
            <wp:extent cx="3810000" cy="2540000"/>
            <wp:effectExtent b="0" l="0" r="0" t="0"/>
            <wp:docPr descr="12+3对比核磁" title="fig:" id="1" name="Picture"/>
            <a:graphic>
              <a:graphicData uri="http://schemas.openxmlformats.org/drawingml/2006/picture">
                <pic:pic>
                  <pic:nvPicPr>
                    <pic:cNvPr descr="figure/SDSePS-nmr-diff.pdf" id="0" name="Picture"/>
                    <pic:cNvPicPr>
                      <a:picLocks noChangeArrowheads="1" noChangeAspect="1"/>
                    </pic:cNvPicPr>
                  </pic:nvPicPr>
                  <pic:blipFill>
                    <a:blip r:embed="rId89"/>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drawing>
          <wp:inline>
            <wp:extent cx="3810000" cy="2540000"/>
            <wp:effectExtent b="0" l="0" r="0" t="0"/>
            <wp:docPr descr="一次还原稳定性" title="fig:" id="1" name="Picture"/>
            <a:graphic>
              <a:graphicData uri="http://schemas.openxmlformats.org/drawingml/2006/picture">
                <pic:pic>
                  <pic:nvPicPr>
                    <pic:cNvPr descr="figure/vesicle-Re-stability.pdf" id="0" name="Picture"/>
                    <pic:cNvPicPr>
                      <a:picLocks noChangeArrowheads="1" noChangeAspect="1"/>
                    </pic:cNvPicPr>
                  </pic:nvPicPr>
                  <pic:blipFill>
                    <a:blip r:embed="rId90"/>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drawing>
          <wp:inline>
            <wp:extent cx="3810000" cy="2540000"/>
            <wp:effectExtent b="0" l="0" r="0" t="0"/>
            <wp:docPr descr="SDSePS氧化还原循环粒径" title="fig:" id="1" name="Picture"/>
            <a:graphic>
              <a:graphicData uri="http://schemas.openxmlformats.org/drawingml/2006/picture">
                <pic:pic>
                  <pic:nvPicPr>
                    <pic:cNvPr descr="figure/SDSePS-redox-circle.pdf" id="0" name="Picture"/>
                    <pic:cNvPicPr>
                      <a:picLocks noChangeArrowheads="1" noChangeAspect="1"/>
                    </pic:cNvPicPr>
                  </pic:nvPicPr>
                  <pic:blipFill>
                    <a:blip r:embed="rId91"/>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Heading4"/>
      </w:pPr>
      <w:bookmarkStart w:id="92" w:name="氧化还原-1"/>
      <w:bookmarkEnd w:id="92"/>
      <w:r>
        <w:t xml:space="preserve">4+11氧化还原</w:t>
      </w:r>
    </w:p>
    <w:p>
      <w:pPr>
        <w:pStyle w:val="FirstParagraph"/>
      </w:pPr>
      <w:r>
        <w:t xml:space="preserve">12+3点板氧化确认</w:t>
      </w:r>
      <w:r>
        <w:br w:type="textWrapping"/>
      </w:r>
    </w:p>
    <w:p>
      <w:pPr>
        <w:pStyle w:val="BodyText"/>
      </w:pPr>
      <w:r>
        <w:t xml:space="preserve">12+3氧化还原循环粒径</w:t>
      </w:r>
      <w:r>
        <w:br w:type="textWrapping"/>
      </w:r>
    </w:p>
    <w:p>
      <w:pPr>
        <w:pStyle w:val="BodyText"/>
      </w:pPr>
      <w:r>
        <w:drawing>
          <wp:inline>
            <wp:extent cx="3810000" cy="2540000"/>
            <wp:effectExtent b="0" l="0" r="0" t="0"/>
            <wp:docPr descr="SBSeUS/DTAB囊泡示意图" title="fig:" id="1" name="Picture"/>
            <a:graphic>
              <a:graphicData uri="http://schemas.openxmlformats.org/drawingml/2006/picture">
                <pic:pic>
                  <pic:nvPicPr>
                    <pic:cNvPr descr="figure/vesicle-scheme.pdf" id="0" name="Picture"/>
                    <pic:cNvPicPr>
                      <a:picLocks noChangeArrowheads="1" noChangeAspect="1"/>
                    </pic:cNvPicPr>
                  </pic:nvPicPr>
                  <pic:blipFill>
                    <a:blip r:embed="rId93"/>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t xml:space="preserve">[一次还原稳定性]加入后立即</w:t>
      </w:r>
    </w:p>
    <w:p>
      <w:pPr>
        <w:pStyle w:val="Heading2"/>
      </w:pPr>
      <w:bookmarkStart w:id="94" w:name="本章小结"/>
      <w:bookmarkEnd w:id="94"/>
      <w:r>
        <w:t xml:space="preserve">本章小结</w:t>
      </w:r>
    </w:p>
    <w:p>
      <w:pPr>
        <w:pStyle w:val="Heading1"/>
      </w:pPr>
      <w:bookmarkStart w:id="95" w:name="chapter:concludes"/>
      <w:bookmarkEnd w:id="95"/>
      <w:r>
        <w:t xml:space="preserve">结论与展望</w:t>
      </w:r>
    </w:p>
    <w:p>
      <w:pPr>
        <w:pStyle w:val="Heading2"/>
      </w:pPr>
      <w:bookmarkStart w:id="96" w:name="结论"/>
      <w:bookmarkEnd w:id="96"/>
      <w:r>
        <w:t xml:space="preserve">结论</w:t>
      </w:r>
    </w:p>
    <w:p>
      <w:pPr>
        <w:pStyle w:val="FirstParagraph"/>
      </w:pPr>
      <w:r>
        <w:t xml:space="preserve">本文在第[chapter:experiment]章中，通过考虑数据中心网络布局构建中的最大度限制</w:t>
      </w:r>
      <w:r>
        <w:t xml:space="preserve"> </w:t>
      </w:r>
      <w:r>
        <w:t xml:space="preserve">问题，提出了符合数据中心网络基本要求的DS小世界模型，并分析了它的性质。随后提出</w:t>
      </w:r>
      <w:r>
        <w:t xml:space="preserve"> </w:t>
      </w:r>
      <w:r>
        <w:t xml:space="preserve">SIDN，将DS模型映射到具体的网络结构中，并分析了所构成网络的平均直径、网络总带宽、</w:t>
      </w:r>
      <w:r>
        <w:t xml:space="preserve"> </w:t>
      </w:r>
      <w:r>
        <w:t xml:space="preserve">对故障的容错能力等各项网络性能。</w:t>
      </w:r>
    </w:p>
    <w:p>
      <w:pPr>
        <w:pStyle w:val="Heading2"/>
      </w:pPr>
      <w:bookmarkStart w:id="97" w:name="不足之处及未来展望"/>
      <w:bookmarkEnd w:id="97"/>
      <w:r>
        <w:t xml:space="preserve">不足之处及未来展望</w:t>
      </w:r>
    </w:p>
    <w:p>
      <w:pPr>
        <w:pStyle w:val="FirstParagraph"/>
      </w:pPr>
      <w:r>
        <w:t xml:space="preserve">在的形式，实现了基于少量物理节点，对</w:t>
      </w:r>
      <w:r>
        <w:t xml:space="preserve"> </w:t>
      </w:r>
      <w:r>
        <w:t xml:space="preserve">大规模节点的模拟。其模拟运行的过程与真实运行在实现层面完全一致，运行的结果与真实</w:t>
      </w:r>
      <w:r>
        <w:t xml:space="preserve"> </w:t>
      </w:r>
      <w:r>
        <w:t xml:space="preserve">环境线性相关。除为本文所涉若干网络模型提供验证外，可进一步推广到更为广泛的领域，</w:t>
      </w:r>
      <w:r>
        <w:t xml:space="preserve"> </w:t>
      </w:r>
      <w:r>
        <w:t xml:space="preserve">为各种网络模型及路由算法的研究工作，提供分析、指导与验证。</w:t>
      </w:r>
    </w:p>
    <w:p>
      <w:pPr>
        <w:pStyle w:val="BodyText"/>
      </w:pPr>
      <w:r>
        <w:t xml:space="preserve">首先感谢我的母亲韦春花对我的支持。其次感谢我的导师陈近南对我的精心指导和热心帮助。接下来，</w:t>
      </w:r>
      <w:r>
        <w:t xml:space="preserve"> </w:t>
      </w:r>
      <w:r>
        <w:t xml:space="preserve">感谢我的师兄茅十八和风际中，他们阅读了我的论文草稿并提出了很有价值的修改建议。</w:t>
      </w:r>
    </w:p>
    <w:p>
      <w:pPr>
        <w:pStyle w:val="BodyText"/>
      </w:pPr>
      <w:r>
        <w:t xml:space="preserve">最后，感谢我亲爱的老婆们：双儿、苏荃、阿珂、沐剑屏、曾柔、建宁公主、方怡，感谢</w:t>
      </w:r>
      <w:r>
        <w:t xml:space="preserve"> </w:t>
      </w:r>
      <w:r>
        <w:t xml:space="preserve">你们在生活上对我无微不至的关怀和照顾。我爱你们！</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8277781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201">
    <w:nsid w:val="bb48b41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abstractNum>
  <w:num w:numId="1">
    <w:abstractNumId w:val="0"/>
  </w: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7" Target="media/rId37.pdf" /><Relationship Type="http://schemas.openxmlformats.org/officeDocument/2006/relationships/image" Id="rId38" Target="media/rId38.pdf" /><Relationship Type="http://schemas.openxmlformats.org/officeDocument/2006/relationships/image" Id="rId27" Target="media/rId27.pdf" /><Relationship Type="http://schemas.openxmlformats.org/officeDocument/2006/relationships/image" Id="rId86" Target="media/rId86.pdf" /><Relationship Type="http://schemas.openxmlformats.org/officeDocument/2006/relationships/image" Id="rId75" Target="media/rId75.pdf" /><Relationship Type="http://schemas.openxmlformats.org/officeDocument/2006/relationships/image" Id="rId74" Target="media/rId74.png" /><Relationship Type="http://schemas.openxmlformats.org/officeDocument/2006/relationships/image" Id="rId85" Target="media/rId85.png" /><Relationship Type="http://schemas.openxmlformats.org/officeDocument/2006/relationships/image" Id="rId79" Target="media/rId79.pdf" /><Relationship Type="http://schemas.openxmlformats.org/officeDocument/2006/relationships/image" Id="rId72" Target="media/rId72.pdf" /><Relationship Type="http://schemas.openxmlformats.org/officeDocument/2006/relationships/image" Id="rId71" Target="media/rId71.png" /><Relationship Type="http://schemas.openxmlformats.org/officeDocument/2006/relationships/image" Id="rId84" Target="media/rId84.png" /><Relationship Type="http://schemas.openxmlformats.org/officeDocument/2006/relationships/image" Id="rId66" Target="media/rId66.pdf" /><Relationship Type="http://schemas.openxmlformats.org/officeDocument/2006/relationships/image" Id="rId89" Target="media/rId89.pdf" /><Relationship Type="http://schemas.openxmlformats.org/officeDocument/2006/relationships/image" Id="rId65" Target="media/rId65.pdf" /><Relationship Type="http://schemas.openxmlformats.org/officeDocument/2006/relationships/image" Id="rId91" Target="media/rId91.pdf" /><Relationship Type="http://schemas.openxmlformats.org/officeDocument/2006/relationships/image" Id="rId78" Target="media/rId78.pdf" /><Relationship Type="http://schemas.openxmlformats.org/officeDocument/2006/relationships/image" Id="rId28" Target="media/rId28.jpg" /><Relationship Type="http://schemas.openxmlformats.org/officeDocument/2006/relationships/image" Id="rId30" Target="media/rId30.jpg" /><Relationship Type="http://schemas.openxmlformats.org/officeDocument/2006/relationships/image" Id="rId35" Target="media/rId35.png" /><Relationship Type="http://schemas.openxmlformats.org/officeDocument/2006/relationships/image" Id="rId34" Target="media/rId34.jpg" /><Relationship Type="http://schemas.openxmlformats.org/officeDocument/2006/relationships/image" Id="rId32" Target="media/rId32.jpg" /><Relationship Type="http://schemas.openxmlformats.org/officeDocument/2006/relationships/image" Id="rId51" Target="media/rId51.pdf" /><Relationship Type="http://schemas.openxmlformats.org/officeDocument/2006/relationships/image" Id="rId90" Target="media/rId90.pdf" /><Relationship Type="http://schemas.openxmlformats.org/officeDocument/2006/relationships/image" Id="rId82" Target="media/rId82.pdf" /><Relationship Type="http://schemas.openxmlformats.org/officeDocument/2006/relationships/image" Id="rId93" Target="media/rId93.pdf" /><Relationship Type="http://schemas.openxmlformats.org/officeDocument/2006/relationships/image" Id="rId81" Target="media/rId81.pdf"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陈育明</dc:creator>
  <dcterms:created xsi:type="dcterms:W3CDTF">2019-05-08T13:41:09Z</dcterms:created>
  <dcterms:modified xsi:type="dcterms:W3CDTF">2019-05-08T13:41:09Z</dcterms:modified>
</cp:coreProperties>
</file>